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16082" w14:textId="273155E6" w:rsidR="008C2357" w:rsidRPr="00652C16" w:rsidRDefault="008C2357" w:rsidP="008C2357">
      <w:pPr>
        <w:pStyle w:val="3GPPHeader"/>
        <w:spacing w:after="60"/>
        <w:rPr>
          <w:rFonts w:cs="Arial"/>
          <w:sz w:val="32"/>
          <w:szCs w:val="32"/>
          <w:highlight w:val="yellow"/>
          <w:lang w:val="en-US"/>
        </w:rPr>
      </w:pPr>
      <w:bookmarkStart w:id="0" w:name="_Hlk512852793"/>
      <w:r w:rsidRPr="00FF7489">
        <w:rPr>
          <w:rFonts w:cs="Arial"/>
          <w:lang w:val="en-US"/>
        </w:rPr>
        <w:t>3GPP TSG-RAN WG2 #10</w:t>
      </w:r>
      <w:r>
        <w:rPr>
          <w:rFonts w:cs="Arial"/>
          <w:lang w:val="en-US"/>
        </w:rPr>
        <w:t>7</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bookmarkStart w:id="1" w:name="_GoBack"/>
      <w:r w:rsidRPr="00917760">
        <w:rPr>
          <w:rFonts w:cs="Arial"/>
          <w:sz w:val="32"/>
          <w:szCs w:val="32"/>
          <w:lang w:val="en-US"/>
        </w:rPr>
        <w:t>R2-</w:t>
      </w:r>
      <w:r w:rsidR="00E2358D" w:rsidRPr="00917760">
        <w:rPr>
          <w:rFonts w:cs="Arial"/>
          <w:sz w:val="32"/>
          <w:szCs w:val="32"/>
          <w:lang w:val="en-US"/>
        </w:rPr>
        <w:t>19</w:t>
      </w:r>
      <w:r w:rsidR="00E2358D">
        <w:rPr>
          <w:rFonts w:cs="Arial"/>
          <w:sz w:val="32"/>
          <w:szCs w:val="32"/>
          <w:lang w:val="en-US"/>
        </w:rPr>
        <w:t>10312</w:t>
      </w:r>
      <w:bookmarkEnd w:id="1"/>
    </w:p>
    <w:bookmarkEnd w:id="0"/>
    <w:p w14:paraId="7AF00CAD" w14:textId="77777777" w:rsidR="008C2357" w:rsidRPr="007A6B98" w:rsidRDefault="008C2357" w:rsidP="008C2357">
      <w:pPr>
        <w:pStyle w:val="CRCoverPage"/>
        <w:outlineLvl w:val="0"/>
        <w:rPr>
          <w:rFonts w:cs="Arial"/>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p w14:paraId="600A6EBA" w14:textId="77777777" w:rsidR="008C2357" w:rsidRDefault="008C2357" w:rsidP="00201BEF">
      <w:pPr>
        <w:pStyle w:val="3GPPHeader"/>
        <w:rPr>
          <w:rFonts w:cs="Arial"/>
          <w:sz w:val="22"/>
          <w:szCs w:val="22"/>
          <w:highlight w:val="yellow"/>
        </w:rPr>
      </w:pPr>
    </w:p>
    <w:p w14:paraId="38D93AEF" w14:textId="202BC728" w:rsidR="00201BEF" w:rsidRPr="007A6B98" w:rsidRDefault="00201BEF" w:rsidP="00201BEF">
      <w:pPr>
        <w:pStyle w:val="3GPPHeader"/>
        <w:rPr>
          <w:rFonts w:cs="Arial"/>
          <w:sz w:val="22"/>
          <w:szCs w:val="22"/>
        </w:rPr>
      </w:pPr>
      <w:r w:rsidRPr="001F5D10">
        <w:rPr>
          <w:rFonts w:cs="Arial"/>
          <w:sz w:val="22"/>
          <w:szCs w:val="22"/>
          <w:lang w:val="en-US"/>
        </w:rPr>
        <w:t>Agenda Item:</w:t>
      </w:r>
      <w:r w:rsidRPr="001F5D10">
        <w:rPr>
          <w:rFonts w:cs="Arial"/>
          <w:sz w:val="22"/>
          <w:szCs w:val="22"/>
          <w:lang w:val="en-US"/>
        </w:rPr>
        <w:tab/>
      </w:r>
      <w:r w:rsidR="00B44A35">
        <w:rPr>
          <w:rFonts w:cs="Arial"/>
        </w:rPr>
        <w:t>11.4.7</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48343D5E"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4D5FFD" w:rsidRPr="004D5FFD">
        <w:rPr>
          <w:rFonts w:cs="Arial"/>
          <w:bCs/>
          <w:sz w:val="22"/>
          <w:szCs w:val="22"/>
          <w:lang w:val="en-US"/>
        </w:rPr>
        <w:t xml:space="preserve">On </w:t>
      </w:r>
      <w:r w:rsidR="007A31BB">
        <w:rPr>
          <w:rFonts w:cs="Arial"/>
          <w:bCs/>
          <w:sz w:val="22"/>
          <w:szCs w:val="22"/>
          <w:lang w:val="en-US"/>
        </w:rPr>
        <w:t xml:space="preserve">inter-RAT </w:t>
      </w:r>
      <w:r w:rsidR="008D156A">
        <w:rPr>
          <w:rFonts w:cs="Arial"/>
          <w:bCs/>
          <w:sz w:val="22"/>
          <w:szCs w:val="22"/>
          <w:lang w:val="en-US"/>
        </w:rPr>
        <w:t>scheduling</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098FBAA2" w14:textId="3C695287" w:rsidR="009058F4" w:rsidRDefault="009058F4" w:rsidP="00201BEF">
      <w:pPr>
        <w:rPr>
          <w:rFonts w:cs="Arial"/>
        </w:rPr>
      </w:pPr>
      <w:r w:rsidRPr="009058F4">
        <w:rPr>
          <w:rFonts w:cs="Arial"/>
        </w:rPr>
        <w:t xml:space="preserve">RAN2#105-bis </w:t>
      </w:r>
      <w:r>
        <w:rPr>
          <w:rFonts w:cs="Arial"/>
        </w:rPr>
        <w:t xml:space="preserve">has agreed the following on </w:t>
      </w:r>
      <w:r w:rsidRPr="009058F4">
        <w:rPr>
          <w:rFonts w:cs="Arial"/>
        </w:rPr>
        <w:t>inter-RAT resource allocation</w:t>
      </w:r>
      <w:r>
        <w:rPr>
          <w:rFonts w:cs="Arial"/>
        </w:rPr>
        <w:t>:</w:t>
      </w:r>
    </w:p>
    <w:tbl>
      <w:tblPr>
        <w:tblStyle w:val="TableGrid"/>
        <w:tblW w:w="0" w:type="auto"/>
        <w:tblLook w:val="04A0" w:firstRow="1" w:lastRow="0" w:firstColumn="1" w:lastColumn="0" w:noHBand="0" w:noVBand="1"/>
      </w:tblPr>
      <w:tblGrid>
        <w:gridCol w:w="9629"/>
      </w:tblGrid>
      <w:tr w:rsidR="009058F4" w14:paraId="6F8D9A3A" w14:textId="77777777" w:rsidTr="009058F4">
        <w:tc>
          <w:tcPr>
            <w:tcW w:w="9629" w:type="dxa"/>
          </w:tcPr>
          <w:p w14:paraId="7C5EDC9D" w14:textId="77777777" w:rsidR="009058F4" w:rsidRPr="009058F4" w:rsidRDefault="009058F4" w:rsidP="009058F4">
            <w:pPr>
              <w:numPr>
                <w:ilvl w:val="0"/>
                <w:numId w:val="10"/>
              </w:numPr>
              <w:tabs>
                <w:tab w:val="num" w:pos="720"/>
              </w:tabs>
              <w:rPr>
                <w:rFonts w:cs="Arial"/>
              </w:rPr>
            </w:pPr>
            <w:r w:rsidRPr="009058F4">
              <w:rPr>
                <w:rFonts w:cs="Arial"/>
                <w:highlight w:val="green"/>
                <w:lang w:val="en-US"/>
              </w:rPr>
              <w:t xml:space="preserve">Agreements on inter-RAT resource allocation: </w:t>
            </w:r>
          </w:p>
          <w:p w14:paraId="5E426EBE" w14:textId="77777777" w:rsidR="009058F4" w:rsidRPr="009058F4" w:rsidRDefault="009058F4" w:rsidP="009058F4">
            <w:pPr>
              <w:numPr>
                <w:ilvl w:val="1"/>
                <w:numId w:val="10"/>
              </w:numPr>
              <w:tabs>
                <w:tab w:val="num" w:pos="1440"/>
              </w:tabs>
              <w:rPr>
                <w:rFonts w:cs="Arial"/>
              </w:rPr>
            </w:pPr>
            <w:r w:rsidRPr="009058F4">
              <w:rPr>
                <w:rFonts w:cs="Arial"/>
                <w:lang w:val="en-US"/>
              </w:rPr>
              <w:t xml:space="preserve">1: </w:t>
            </w:r>
            <w:r w:rsidRPr="009058F4">
              <w:rPr>
                <w:rFonts w:cs="Arial"/>
                <w:lang w:val="en-US"/>
              </w:rPr>
              <w:tab/>
              <w:t xml:space="preserve">For scheduling LTE SL UEs, the </w:t>
            </w:r>
            <w:proofErr w:type="spellStart"/>
            <w:r w:rsidRPr="009058F4">
              <w:rPr>
                <w:rFonts w:cs="Arial"/>
                <w:lang w:val="en-US"/>
              </w:rPr>
              <w:t>gNB</w:t>
            </w:r>
            <w:proofErr w:type="spellEnd"/>
            <w:r w:rsidRPr="009058F4">
              <w:rPr>
                <w:rFonts w:cs="Arial"/>
                <w:lang w:val="en-US"/>
              </w:rPr>
              <w:t xml:space="preserve"> uses RRC messages to deliver the SPS grant configuration.</w:t>
            </w:r>
          </w:p>
          <w:p w14:paraId="359F44AB" w14:textId="77777777" w:rsidR="009058F4" w:rsidRPr="009058F4" w:rsidRDefault="009058F4" w:rsidP="009058F4">
            <w:pPr>
              <w:numPr>
                <w:ilvl w:val="1"/>
                <w:numId w:val="10"/>
              </w:numPr>
              <w:tabs>
                <w:tab w:val="num" w:pos="1440"/>
              </w:tabs>
              <w:rPr>
                <w:rFonts w:cs="Arial"/>
              </w:rPr>
            </w:pPr>
            <w:r w:rsidRPr="009058F4">
              <w:rPr>
                <w:rFonts w:cs="Arial"/>
                <w:highlight w:val="yellow"/>
                <w:lang w:val="en-US"/>
              </w:rPr>
              <w:t>2:</w:t>
            </w:r>
            <w:r w:rsidRPr="009058F4">
              <w:rPr>
                <w:rFonts w:cs="Arial"/>
                <w:highlight w:val="yellow"/>
                <w:lang w:val="en-US"/>
              </w:rPr>
              <w:tab/>
              <w:t xml:space="preserve">LTE </w:t>
            </w:r>
            <w:proofErr w:type="spellStart"/>
            <w:r w:rsidRPr="009058F4">
              <w:rPr>
                <w:rFonts w:cs="Arial"/>
                <w:highlight w:val="yellow"/>
                <w:lang w:val="en-US"/>
              </w:rPr>
              <w:t>Uu</w:t>
            </w:r>
            <w:proofErr w:type="spellEnd"/>
            <w:r w:rsidRPr="009058F4">
              <w:rPr>
                <w:rFonts w:cs="Arial"/>
                <w:highlight w:val="yellow"/>
                <w:lang w:val="en-US"/>
              </w:rPr>
              <w:t xml:space="preserve"> supports configuration for NR mode-2 operation through RRC signaling and through SIB signaling. However, on demand or per valid area mode-2 configuration via SIB signaling is not supported.</w:t>
            </w:r>
          </w:p>
          <w:p w14:paraId="172BC185" w14:textId="54109892" w:rsidR="009058F4" w:rsidRPr="009058F4" w:rsidRDefault="009058F4" w:rsidP="00A26A46">
            <w:pPr>
              <w:numPr>
                <w:ilvl w:val="0"/>
                <w:numId w:val="10"/>
              </w:numPr>
              <w:tabs>
                <w:tab w:val="num" w:pos="720"/>
              </w:tabs>
              <w:rPr>
                <w:rFonts w:cs="Arial"/>
              </w:rPr>
            </w:pPr>
            <w:r w:rsidRPr="009058F4">
              <w:rPr>
                <w:rFonts w:cs="Arial"/>
                <w:lang w:val="en-US"/>
              </w:rPr>
              <w:t> </w:t>
            </w:r>
            <w:r w:rsidRPr="009058F4">
              <w:rPr>
                <w:rFonts w:cs="Arial"/>
                <w:highlight w:val="green"/>
                <w:lang w:val="en-US"/>
              </w:rPr>
              <w:t xml:space="preserve">Agreements on inter-RAT resource allocation: </w:t>
            </w:r>
          </w:p>
          <w:p w14:paraId="04ABC491" w14:textId="77777777" w:rsidR="009058F4" w:rsidRPr="009058F4" w:rsidRDefault="009058F4" w:rsidP="009058F4">
            <w:pPr>
              <w:numPr>
                <w:ilvl w:val="1"/>
                <w:numId w:val="10"/>
              </w:numPr>
              <w:tabs>
                <w:tab w:val="num" w:pos="1440"/>
              </w:tabs>
              <w:rPr>
                <w:rFonts w:cs="Arial"/>
              </w:rPr>
            </w:pPr>
            <w:r w:rsidRPr="009058F4">
              <w:rPr>
                <w:rFonts w:cs="Arial"/>
                <w:lang w:val="en-US"/>
              </w:rPr>
              <w:t xml:space="preserve">1: </w:t>
            </w:r>
            <w:r w:rsidRPr="009058F4">
              <w:rPr>
                <w:rFonts w:cs="Arial"/>
                <w:lang w:val="en-US"/>
              </w:rPr>
              <w:tab/>
              <w:t xml:space="preserve">New system information block type should be designed to support NR </w:t>
            </w:r>
            <w:proofErr w:type="spellStart"/>
            <w:r w:rsidRPr="009058F4">
              <w:rPr>
                <w:rFonts w:cs="Arial"/>
                <w:lang w:val="en-US"/>
              </w:rPr>
              <w:t>sidelink</w:t>
            </w:r>
            <w:proofErr w:type="spellEnd"/>
            <w:r w:rsidRPr="009058F4">
              <w:rPr>
                <w:rFonts w:cs="Arial"/>
                <w:lang w:val="en-US"/>
              </w:rPr>
              <w:t xml:space="preserve"> Tx and Rx resource pool configuration via LTE </w:t>
            </w:r>
            <w:proofErr w:type="spellStart"/>
            <w:r w:rsidRPr="009058F4">
              <w:rPr>
                <w:rFonts w:cs="Arial"/>
                <w:lang w:val="en-US"/>
              </w:rPr>
              <w:t>Uu</w:t>
            </w:r>
            <w:proofErr w:type="spellEnd"/>
            <w:r w:rsidRPr="009058F4">
              <w:rPr>
                <w:rFonts w:cs="Arial"/>
                <w:lang w:val="en-US"/>
              </w:rPr>
              <w:t>. New system information will be defined as container (OCTET STRING) and actual information will follow what is defined in NR RRC.</w:t>
            </w:r>
          </w:p>
          <w:p w14:paraId="4CA09976" w14:textId="77777777" w:rsidR="009058F4" w:rsidRPr="009058F4" w:rsidRDefault="009058F4" w:rsidP="009058F4">
            <w:pPr>
              <w:numPr>
                <w:ilvl w:val="1"/>
                <w:numId w:val="10"/>
              </w:numPr>
              <w:tabs>
                <w:tab w:val="num" w:pos="1440"/>
              </w:tabs>
              <w:rPr>
                <w:rFonts w:cs="Arial"/>
              </w:rPr>
            </w:pPr>
            <w:r w:rsidRPr="009058F4">
              <w:rPr>
                <w:rFonts w:cs="Arial"/>
                <w:lang w:val="en-US"/>
              </w:rPr>
              <w:t>2:</w:t>
            </w:r>
            <w:r w:rsidRPr="009058F4">
              <w:rPr>
                <w:rFonts w:cs="Arial"/>
                <w:lang w:val="en-US"/>
              </w:rPr>
              <w:tab/>
            </w:r>
            <w:proofErr w:type="spellStart"/>
            <w:r w:rsidRPr="009058F4">
              <w:rPr>
                <w:rFonts w:cs="Arial"/>
                <w:lang w:val="en-US"/>
              </w:rPr>
              <w:t>eNB</w:t>
            </w:r>
            <w:proofErr w:type="spellEnd"/>
            <w:r w:rsidRPr="009058F4">
              <w:rPr>
                <w:rFonts w:cs="Arial"/>
                <w:lang w:val="en-US"/>
              </w:rPr>
              <w:t xml:space="preserve"> should be able to configure the NR V2X mode 2 </w:t>
            </w:r>
            <w:proofErr w:type="spellStart"/>
            <w:r w:rsidRPr="009058F4">
              <w:rPr>
                <w:rFonts w:cs="Arial"/>
                <w:lang w:val="en-US"/>
              </w:rPr>
              <w:t>sidelink</w:t>
            </w:r>
            <w:proofErr w:type="spellEnd"/>
            <w:r w:rsidRPr="009058F4">
              <w:rPr>
                <w:rFonts w:cs="Arial"/>
                <w:lang w:val="en-US"/>
              </w:rPr>
              <w:t xml:space="preserve"> resource pool or type 1 configured grant for NR V2X </w:t>
            </w:r>
            <w:proofErr w:type="spellStart"/>
            <w:r w:rsidRPr="009058F4">
              <w:rPr>
                <w:rFonts w:cs="Arial"/>
                <w:lang w:val="en-US"/>
              </w:rPr>
              <w:t>sidelink</w:t>
            </w:r>
            <w:proofErr w:type="spellEnd"/>
            <w:r w:rsidRPr="009058F4">
              <w:rPr>
                <w:rFonts w:cs="Arial"/>
                <w:lang w:val="en-US"/>
              </w:rPr>
              <w:t xml:space="preserve"> communication via dedicated </w:t>
            </w:r>
            <w:proofErr w:type="spellStart"/>
            <w:r w:rsidRPr="009058F4">
              <w:rPr>
                <w:rFonts w:cs="Arial"/>
                <w:lang w:val="en-US"/>
              </w:rPr>
              <w:t>signalling</w:t>
            </w:r>
            <w:proofErr w:type="spellEnd"/>
            <w:r w:rsidRPr="009058F4">
              <w:rPr>
                <w:rFonts w:cs="Arial"/>
                <w:lang w:val="en-US"/>
              </w:rPr>
              <w:t>.</w:t>
            </w:r>
          </w:p>
          <w:p w14:paraId="482C12D7" w14:textId="77777777" w:rsidR="009058F4" w:rsidRPr="009058F4" w:rsidRDefault="009058F4" w:rsidP="009058F4">
            <w:pPr>
              <w:numPr>
                <w:ilvl w:val="1"/>
                <w:numId w:val="10"/>
              </w:numPr>
              <w:tabs>
                <w:tab w:val="num" w:pos="1440"/>
              </w:tabs>
              <w:rPr>
                <w:rFonts w:cs="Arial"/>
              </w:rPr>
            </w:pPr>
            <w:r w:rsidRPr="009058F4">
              <w:rPr>
                <w:rFonts w:cs="Arial"/>
                <w:lang w:val="en-US"/>
              </w:rPr>
              <w:t>3:</w:t>
            </w:r>
            <w:r w:rsidRPr="009058F4">
              <w:rPr>
                <w:rFonts w:cs="Arial"/>
                <w:lang w:val="en-US"/>
              </w:rPr>
              <w:tab/>
              <w:t xml:space="preserve">NR </w:t>
            </w:r>
            <w:proofErr w:type="spellStart"/>
            <w:r w:rsidRPr="009058F4">
              <w:rPr>
                <w:rFonts w:cs="Arial"/>
                <w:lang w:val="en-US"/>
              </w:rPr>
              <w:t>Sidelink</w:t>
            </w:r>
            <w:proofErr w:type="spellEnd"/>
            <w:r w:rsidRPr="009058F4">
              <w:rPr>
                <w:rFonts w:cs="Arial"/>
                <w:lang w:val="en-US"/>
              </w:rPr>
              <w:t xml:space="preserve"> UE information and/or NR UE Assistance information will be transmitted as container (OCTET STRING) and actual information will be defined in NR RRC.</w:t>
            </w:r>
          </w:p>
          <w:p w14:paraId="5DDBAD2D" w14:textId="77777777" w:rsidR="009058F4" w:rsidRPr="009058F4" w:rsidRDefault="009058F4" w:rsidP="009058F4">
            <w:pPr>
              <w:numPr>
                <w:ilvl w:val="1"/>
                <w:numId w:val="10"/>
              </w:numPr>
              <w:tabs>
                <w:tab w:val="num" w:pos="1440"/>
              </w:tabs>
              <w:rPr>
                <w:rFonts w:cs="Arial"/>
              </w:rPr>
            </w:pPr>
            <w:r w:rsidRPr="009058F4">
              <w:rPr>
                <w:rFonts w:cs="Arial"/>
                <w:lang w:val="en-US"/>
              </w:rPr>
              <w:t>4:</w:t>
            </w:r>
            <w:r w:rsidRPr="009058F4">
              <w:rPr>
                <w:rFonts w:cs="Arial"/>
                <w:lang w:val="en-US"/>
              </w:rPr>
              <w:tab/>
              <w:t xml:space="preserve">Separate system information block should be designed to support LTE resource pool configuration via NR </w:t>
            </w:r>
            <w:proofErr w:type="spellStart"/>
            <w:r w:rsidRPr="009058F4">
              <w:rPr>
                <w:rFonts w:cs="Arial"/>
                <w:lang w:val="en-US"/>
              </w:rPr>
              <w:t>Uu</w:t>
            </w:r>
            <w:proofErr w:type="spellEnd"/>
            <w:r w:rsidRPr="009058F4">
              <w:rPr>
                <w:rFonts w:cs="Arial"/>
                <w:lang w:val="en-US"/>
              </w:rPr>
              <w:t>. It will be defined as a container (OCTET STRING) and actual information follows what defined in LTE RRC.</w:t>
            </w:r>
          </w:p>
          <w:p w14:paraId="4F8F86D7" w14:textId="77777777" w:rsidR="009058F4" w:rsidRPr="009058F4" w:rsidRDefault="009058F4" w:rsidP="009058F4">
            <w:pPr>
              <w:numPr>
                <w:ilvl w:val="1"/>
                <w:numId w:val="10"/>
              </w:numPr>
              <w:tabs>
                <w:tab w:val="num" w:pos="1440"/>
              </w:tabs>
              <w:rPr>
                <w:rFonts w:cs="Arial"/>
              </w:rPr>
            </w:pPr>
            <w:r w:rsidRPr="009058F4">
              <w:rPr>
                <w:rFonts w:cs="Arial"/>
                <w:lang w:val="en-US"/>
              </w:rPr>
              <w:t xml:space="preserve">5: </w:t>
            </w:r>
            <w:r w:rsidRPr="009058F4">
              <w:rPr>
                <w:rFonts w:cs="Arial"/>
                <w:lang w:val="en-US"/>
              </w:rPr>
              <w:tab/>
            </w:r>
            <w:proofErr w:type="spellStart"/>
            <w:r w:rsidRPr="009058F4">
              <w:rPr>
                <w:rFonts w:cs="Arial"/>
                <w:lang w:val="en-US"/>
              </w:rPr>
              <w:t>gNB</w:t>
            </w:r>
            <w:proofErr w:type="spellEnd"/>
            <w:r w:rsidRPr="009058F4">
              <w:rPr>
                <w:rFonts w:cs="Arial"/>
                <w:lang w:val="en-US"/>
              </w:rPr>
              <w:t xml:space="preserve"> should be able to configure the LTE V2X mode 4 </w:t>
            </w:r>
            <w:proofErr w:type="spellStart"/>
            <w:r w:rsidRPr="009058F4">
              <w:rPr>
                <w:rFonts w:cs="Arial"/>
                <w:lang w:val="en-US"/>
              </w:rPr>
              <w:t>sidelink</w:t>
            </w:r>
            <w:proofErr w:type="spellEnd"/>
            <w:r w:rsidRPr="009058F4">
              <w:rPr>
                <w:rFonts w:cs="Arial"/>
                <w:lang w:val="en-US"/>
              </w:rPr>
              <w:t xml:space="preserve"> resource pool via dedicated </w:t>
            </w:r>
            <w:proofErr w:type="spellStart"/>
            <w:r w:rsidRPr="009058F4">
              <w:rPr>
                <w:rFonts w:cs="Arial"/>
                <w:lang w:val="en-US"/>
              </w:rPr>
              <w:t>signalling</w:t>
            </w:r>
            <w:proofErr w:type="spellEnd"/>
            <w:r w:rsidRPr="009058F4">
              <w:rPr>
                <w:rFonts w:cs="Arial"/>
                <w:lang w:val="en-US"/>
              </w:rPr>
              <w:t xml:space="preserve">. In addition, </w:t>
            </w:r>
            <w:proofErr w:type="spellStart"/>
            <w:r w:rsidRPr="009058F4">
              <w:rPr>
                <w:rFonts w:cs="Arial"/>
                <w:lang w:val="en-US"/>
              </w:rPr>
              <w:t>gNB</w:t>
            </w:r>
            <w:proofErr w:type="spellEnd"/>
            <w:r w:rsidRPr="009058F4">
              <w:rPr>
                <w:rFonts w:cs="Arial"/>
                <w:lang w:val="en-US"/>
              </w:rPr>
              <w:t xml:space="preserve"> should be able to configure mode3 SL resources via dedicated signaling. It will be defined as a container (OCTET STRING) and actual information follows what defined in LTE RRC.</w:t>
            </w:r>
          </w:p>
          <w:p w14:paraId="53F4C099" w14:textId="77777777" w:rsidR="009058F4" w:rsidRPr="009058F4" w:rsidRDefault="009058F4" w:rsidP="00201BEF">
            <w:pPr>
              <w:rPr>
                <w:rFonts w:cs="Arial"/>
              </w:rPr>
            </w:pPr>
          </w:p>
        </w:tc>
      </w:tr>
    </w:tbl>
    <w:p w14:paraId="56DDFA8F" w14:textId="1CE22FBF" w:rsidR="009058F4" w:rsidRDefault="009058F4" w:rsidP="00201BEF">
      <w:pPr>
        <w:rPr>
          <w:rFonts w:cs="Arial"/>
        </w:rPr>
      </w:pPr>
    </w:p>
    <w:p w14:paraId="0A9357F6" w14:textId="17231BEA" w:rsidR="009058F4" w:rsidRPr="007A6B98" w:rsidRDefault="009058F4" w:rsidP="00201BEF">
      <w:pPr>
        <w:rPr>
          <w:rFonts w:cs="Arial"/>
        </w:rPr>
      </w:pPr>
      <w:r>
        <w:rPr>
          <w:rFonts w:cs="Arial"/>
        </w:rPr>
        <w:t xml:space="preserve">In this paper </w:t>
      </w:r>
      <w:r w:rsidR="00D6582D">
        <w:rPr>
          <w:rFonts w:cs="Arial"/>
        </w:rPr>
        <w:t>we address some additional aspects of inter-RAT resource allocation.</w:t>
      </w:r>
    </w:p>
    <w:p w14:paraId="68797028" w14:textId="47B705F7" w:rsidR="006F3D9F" w:rsidRDefault="006F3D9F" w:rsidP="006F3D9F">
      <w:pPr>
        <w:pStyle w:val="Heading1"/>
      </w:pPr>
      <w:bookmarkStart w:id="2" w:name="_Ref16263906"/>
      <w:r>
        <w:t>Discussion</w:t>
      </w:r>
      <w:bookmarkEnd w:id="2"/>
    </w:p>
    <w:p w14:paraId="536CB7DC" w14:textId="77FB5BA3" w:rsidR="00D6582D" w:rsidRDefault="00D6582D" w:rsidP="00D6582D">
      <w:pPr>
        <w:rPr>
          <w:rFonts w:cs="Arial"/>
        </w:rPr>
      </w:pPr>
      <w:r>
        <w:t xml:space="preserve">Summarizing the agreements on </w:t>
      </w:r>
      <w:r>
        <w:rPr>
          <w:rFonts w:cs="Arial"/>
        </w:rPr>
        <w:t>inter-RAT resource allocation, what is agreed is to use container (</w:t>
      </w:r>
      <w:r w:rsidR="009058F4" w:rsidRPr="009058F4">
        <w:rPr>
          <w:rFonts w:cs="Arial"/>
          <w:lang w:val="en-US"/>
        </w:rPr>
        <w:t>OCTET STRING</w:t>
      </w:r>
      <w:r>
        <w:rPr>
          <w:rFonts w:cs="Arial"/>
          <w:lang w:val="en-US"/>
        </w:rPr>
        <w:t>)</w:t>
      </w:r>
      <w:r>
        <w:rPr>
          <w:rFonts w:cs="Arial"/>
        </w:rPr>
        <w:t xml:space="preserve"> for the following signalling cases: </w:t>
      </w:r>
    </w:p>
    <w:p w14:paraId="2022AFA8" w14:textId="38F28E8A" w:rsidR="004335CD" w:rsidRPr="00D6582D" w:rsidRDefault="004335CD" w:rsidP="004335CD">
      <w:pPr>
        <w:numPr>
          <w:ilvl w:val="1"/>
          <w:numId w:val="11"/>
        </w:numPr>
        <w:tabs>
          <w:tab w:val="clear" w:pos="1440"/>
          <w:tab w:val="num" w:pos="360"/>
        </w:tabs>
        <w:ind w:left="360"/>
        <w:rPr>
          <w:rFonts w:cs="Arial"/>
        </w:rPr>
      </w:pPr>
      <w:r w:rsidRPr="001F5D10">
        <w:rPr>
          <w:rFonts w:cs="Arial"/>
          <w:lang w:val="en-US"/>
        </w:rPr>
        <w:t xml:space="preserve">LTE </w:t>
      </w:r>
      <w:proofErr w:type="spellStart"/>
      <w:r w:rsidRPr="001F5D10">
        <w:rPr>
          <w:rFonts w:cs="Arial"/>
          <w:lang w:val="en-US"/>
        </w:rPr>
        <w:t>Uu</w:t>
      </w:r>
      <w:proofErr w:type="spellEnd"/>
      <w:r w:rsidRPr="001F5D10">
        <w:rPr>
          <w:rFonts w:cs="Arial"/>
          <w:lang w:val="en-US"/>
        </w:rPr>
        <w:t xml:space="preserve"> </w:t>
      </w:r>
      <w:r w:rsidR="00A55307">
        <w:rPr>
          <w:rFonts w:cs="Arial"/>
          <w:lang w:val="en-US"/>
        </w:rPr>
        <w:t>configures</w:t>
      </w:r>
      <w:r w:rsidRPr="001F5D10">
        <w:rPr>
          <w:rFonts w:cs="Arial"/>
          <w:lang w:val="en-US"/>
        </w:rPr>
        <w:t xml:space="preserve"> NR SL</w:t>
      </w:r>
      <w:r w:rsidR="00A55307">
        <w:rPr>
          <w:rFonts w:cs="Arial"/>
          <w:lang w:val="en-US"/>
        </w:rPr>
        <w:t xml:space="preserve"> per SIB</w:t>
      </w:r>
    </w:p>
    <w:p w14:paraId="6DB9789A" w14:textId="3CE8F067" w:rsidR="004335CD" w:rsidRPr="00D6582D" w:rsidRDefault="004335CD" w:rsidP="004335CD">
      <w:pPr>
        <w:numPr>
          <w:ilvl w:val="1"/>
          <w:numId w:val="11"/>
        </w:numPr>
        <w:tabs>
          <w:tab w:val="clear" w:pos="1440"/>
          <w:tab w:val="num" w:pos="360"/>
        </w:tabs>
        <w:ind w:left="360"/>
        <w:rPr>
          <w:rFonts w:cs="Arial"/>
        </w:rPr>
      </w:pPr>
      <w:r w:rsidRPr="00D6582D">
        <w:rPr>
          <w:rFonts w:cs="Arial"/>
          <w:lang w:val="en-US"/>
        </w:rPr>
        <w:t xml:space="preserve">NR SL </w:t>
      </w:r>
      <w:r w:rsidR="00C37E45">
        <w:rPr>
          <w:rFonts w:cs="Arial"/>
          <w:lang w:val="en-US"/>
        </w:rPr>
        <w:t xml:space="preserve">UE sending </w:t>
      </w:r>
      <w:r w:rsidRPr="00D6582D">
        <w:rPr>
          <w:rFonts w:cs="Arial"/>
          <w:lang w:val="en-US"/>
        </w:rPr>
        <w:t xml:space="preserve">NR SUI/UAI </w:t>
      </w:r>
      <w:r w:rsidR="00C37E45">
        <w:rPr>
          <w:rFonts w:cs="Arial"/>
          <w:lang w:val="en-US"/>
        </w:rPr>
        <w:t xml:space="preserve">to </w:t>
      </w:r>
      <w:r w:rsidRPr="00D6582D">
        <w:rPr>
          <w:rFonts w:cs="Arial"/>
          <w:lang w:val="en-US"/>
        </w:rPr>
        <w:t xml:space="preserve">LTE </w:t>
      </w:r>
      <w:proofErr w:type="spellStart"/>
      <w:r w:rsidRPr="00D6582D">
        <w:rPr>
          <w:rFonts w:cs="Arial"/>
          <w:lang w:val="en-US"/>
        </w:rPr>
        <w:t>Uu</w:t>
      </w:r>
      <w:proofErr w:type="spellEnd"/>
    </w:p>
    <w:p w14:paraId="7F548B1A" w14:textId="7BAA4FA3" w:rsidR="004335CD" w:rsidRPr="00D6582D" w:rsidRDefault="004335CD" w:rsidP="004335CD">
      <w:pPr>
        <w:numPr>
          <w:ilvl w:val="1"/>
          <w:numId w:val="11"/>
        </w:numPr>
        <w:tabs>
          <w:tab w:val="clear" w:pos="1440"/>
          <w:tab w:val="num" w:pos="360"/>
        </w:tabs>
        <w:ind w:left="360"/>
        <w:rPr>
          <w:rFonts w:cs="Arial"/>
        </w:rPr>
      </w:pPr>
      <w:r w:rsidRPr="00D6582D">
        <w:rPr>
          <w:rFonts w:cs="Arial"/>
          <w:lang w:val="en-US"/>
        </w:rPr>
        <w:t xml:space="preserve">NR </w:t>
      </w:r>
      <w:proofErr w:type="spellStart"/>
      <w:r w:rsidRPr="00D6582D">
        <w:rPr>
          <w:rFonts w:cs="Arial"/>
          <w:lang w:val="en-US"/>
        </w:rPr>
        <w:t>Uu</w:t>
      </w:r>
      <w:proofErr w:type="spellEnd"/>
      <w:r w:rsidRPr="00D6582D">
        <w:rPr>
          <w:rFonts w:cs="Arial"/>
          <w:lang w:val="en-US"/>
        </w:rPr>
        <w:t xml:space="preserve"> </w:t>
      </w:r>
      <w:r w:rsidR="00A55307">
        <w:rPr>
          <w:rFonts w:cs="Arial"/>
          <w:lang w:val="en-US"/>
        </w:rPr>
        <w:t xml:space="preserve">configures </w:t>
      </w:r>
      <w:r w:rsidRPr="00D6582D">
        <w:rPr>
          <w:rFonts w:cs="Arial"/>
          <w:lang w:val="en-US"/>
        </w:rPr>
        <w:t>LTE SL</w:t>
      </w:r>
      <w:r w:rsidR="00A55307">
        <w:rPr>
          <w:rFonts w:cs="Arial"/>
          <w:lang w:val="en-US"/>
        </w:rPr>
        <w:t xml:space="preserve"> per SIB</w:t>
      </w:r>
    </w:p>
    <w:p w14:paraId="696958A8" w14:textId="0F955F8C" w:rsidR="004335CD" w:rsidRPr="00D6582D" w:rsidRDefault="004335CD" w:rsidP="004335CD">
      <w:pPr>
        <w:numPr>
          <w:ilvl w:val="1"/>
          <w:numId w:val="11"/>
        </w:numPr>
        <w:tabs>
          <w:tab w:val="clear" w:pos="1440"/>
          <w:tab w:val="num" w:pos="360"/>
        </w:tabs>
        <w:ind w:left="360"/>
        <w:rPr>
          <w:rFonts w:cs="Arial"/>
        </w:rPr>
      </w:pPr>
      <w:r w:rsidRPr="00D6582D">
        <w:rPr>
          <w:rFonts w:cs="Arial"/>
          <w:lang w:val="en-US"/>
        </w:rPr>
        <w:t xml:space="preserve">NR </w:t>
      </w:r>
      <w:proofErr w:type="spellStart"/>
      <w:r w:rsidRPr="00D6582D">
        <w:rPr>
          <w:rFonts w:cs="Arial"/>
          <w:lang w:val="en-US"/>
        </w:rPr>
        <w:t>Uu</w:t>
      </w:r>
      <w:proofErr w:type="spellEnd"/>
      <w:r w:rsidRPr="00D6582D">
        <w:rPr>
          <w:rFonts w:cs="Arial"/>
          <w:lang w:val="en-US"/>
        </w:rPr>
        <w:t xml:space="preserve"> </w:t>
      </w:r>
      <w:r w:rsidR="00A55307">
        <w:rPr>
          <w:rFonts w:cs="Arial"/>
          <w:lang w:val="en-US"/>
        </w:rPr>
        <w:t xml:space="preserve">configures </w:t>
      </w:r>
      <w:r w:rsidRPr="00D6582D">
        <w:rPr>
          <w:rFonts w:cs="Arial"/>
          <w:lang w:val="en-US"/>
        </w:rPr>
        <w:t>LTE SL</w:t>
      </w:r>
      <w:r w:rsidR="00A55307">
        <w:rPr>
          <w:rFonts w:cs="Arial"/>
          <w:lang w:val="en-US"/>
        </w:rPr>
        <w:t xml:space="preserve"> per </w:t>
      </w:r>
      <w:r w:rsidR="00A55307" w:rsidRPr="00D6582D">
        <w:rPr>
          <w:rFonts w:cs="Arial"/>
          <w:lang w:val="en-US"/>
        </w:rPr>
        <w:t>dedicated RRC</w:t>
      </w:r>
    </w:p>
    <w:p w14:paraId="7BC3085B" w14:textId="30DE47FE" w:rsidR="00D6582D" w:rsidRPr="00D6582D" w:rsidRDefault="00D6582D" w:rsidP="001F5D10">
      <w:pPr>
        <w:ind w:left="360"/>
        <w:rPr>
          <w:rFonts w:cs="Arial"/>
        </w:rPr>
      </w:pPr>
    </w:p>
    <w:p w14:paraId="0C4C7E91" w14:textId="786A88D5" w:rsidR="00D6582D" w:rsidRDefault="00F64716" w:rsidP="00D6582D">
      <w:pPr>
        <w:rPr>
          <w:rFonts w:cs="Arial"/>
          <w:lang w:val="en-US"/>
        </w:rPr>
      </w:pPr>
      <w:r>
        <w:rPr>
          <w:rFonts w:cs="Arial"/>
          <w:lang w:val="en-US"/>
        </w:rPr>
        <w:t>The agreements do</w:t>
      </w:r>
      <w:r w:rsidR="009210AC">
        <w:rPr>
          <w:rFonts w:cs="Arial"/>
          <w:lang w:val="en-US"/>
        </w:rPr>
        <w:t xml:space="preserve"> not yet </w:t>
      </w:r>
      <w:r w:rsidR="008C257F">
        <w:rPr>
          <w:rFonts w:cs="Arial"/>
          <w:lang w:val="en-US"/>
        </w:rPr>
        <w:t xml:space="preserve">cover </w:t>
      </w:r>
      <w:r>
        <w:rPr>
          <w:rFonts w:cs="Arial"/>
          <w:lang w:val="en-US"/>
        </w:rPr>
        <w:t>the following cases:</w:t>
      </w:r>
    </w:p>
    <w:p w14:paraId="241DB5F3" w14:textId="006F93DE" w:rsidR="006A415F" w:rsidRPr="00D6582D" w:rsidRDefault="006A415F" w:rsidP="006A415F">
      <w:pPr>
        <w:numPr>
          <w:ilvl w:val="1"/>
          <w:numId w:val="11"/>
        </w:numPr>
        <w:tabs>
          <w:tab w:val="clear" w:pos="1440"/>
          <w:tab w:val="num" w:pos="360"/>
        </w:tabs>
        <w:ind w:left="360"/>
        <w:rPr>
          <w:rFonts w:cs="Arial"/>
        </w:rPr>
      </w:pPr>
      <w:r w:rsidRPr="003352F7">
        <w:rPr>
          <w:rFonts w:cs="Arial"/>
        </w:rPr>
        <w:t xml:space="preserve">LTE </w:t>
      </w:r>
      <w:proofErr w:type="spellStart"/>
      <w:r w:rsidRPr="003352F7">
        <w:rPr>
          <w:rFonts w:cs="Arial"/>
        </w:rPr>
        <w:t>Uu</w:t>
      </w:r>
      <w:proofErr w:type="spellEnd"/>
      <w:r w:rsidRPr="003352F7">
        <w:rPr>
          <w:rFonts w:cs="Arial"/>
        </w:rPr>
        <w:t xml:space="preserve"> </w:t>
      </w:r>
      <w:r w:rsidR="006E0B4C">
        <w:rPr>
          <w:rFonts w:cs="Arial"/>
        </w:rPr>
        <w:t xml:space="preserve">configures </w:t>
      </w:r>
      <w:r w:rsidRPr="003352F7">
        <w:rPr>
          <w:rFonts w:cs="Arial"/>
        </w:rPr>
        <w:t>NR SL</w:t>
      </w:r>
      <w:r w:rsidR="006E0B4C">
        <w:rPr>
          <w:rFonts w:cs="Arial"/>
        </w:rPr>
        <w:t xml:space="preserve"> per</w:t>
      </w:r>
      <w:r w:rsidR="006E0B4C">
        <w:rPr>
          <w:rFonts w:cs="Arial"/>
        </w:rPr>
        <w:t xml:space="preserve"> </w:t>
      </w:r>
      <w:r w:rsidR="006E0B4C" w:rsidRPr="003352F7">
        <w:rPr>
          <w:rFonts w:cs="Arial"/>
        </w:rPr>
        <w:t>dedicated RRC</w:t>
      </w:r>
    </w:p>
    <w:p w14:paraId="22D9F562" w14:textId="1658B4DB" w:rsidR="006A415F" w:rsidRPr="001F5D10" w:rsidRDefault="006A415F" w:rsidP="006A415F">
      <w:pPr>
        <w:numPr>
          <w:ilvl w:val="1"/>
          <w:numId w:val="11"/>
        </w:numPr>
        <w:tabs>
          <w:tab w:val="clear" w:pos="1440"/>
          <w:tab w:val="num" w:pos="360"/>
        </w:tabs>
        <w:ind w:left="360"/>
        <w:rPr>
          <w:rFonts w:cs="Arial"/>
          <w:lang w:val="en-US"/>
        </w:rPr>
      </w:pPr>
      <w:r w:rsidRPr="001F5D10">
        <w:rPr>
          <w:rFonts w:cs="Arial"/>
          <w:lang w:val="en-US"/>
        </w:rPr>
        <w:t xml:space="preserve">LTE SL UE sending LTE SUI/UAI </w:t>
      </w:r>
      <w:r w:rsidR="00DD54B8" w:rsidRPr="001F5D10">
        <w:rPr>
          <w:rFonts w:cs="Arial"/>
          <w:lang w:val="en-US"/>
        </w:rPr>
        <w:t>to</w:t>
      </w:r>
      <w:r w:rsidRPr="001F5D10">
        <w:rPr>
          <w:rFonts w:cs="Arial"/>
          <w:lang w:val="en-US"/>
        </w:rPr>
        <w:t xml:space="preserve"> NR </w:t>
      </w:r>
      <w:proofErr w:type="spellStart"/>
      <w:r w:rsidRPr="001F5D10">
        <w:rPr>
          <w:rFonts w:cs="Arial"/>
          <w:lang w:val="en-US"/>
        </w:rPr>
        <w:t>Uu</w:t>
      </w:r>
      <w:proofErr w:type="spellEnd"/>
    </w:p>
    <w:p w14:paraId="0F048BDE" w14:textId="4CA3BE72" w:rsidR="00F64716" w:rsidRPr="001F5D10" w:rsidRDefault="00F64716" w:rsidP="00D6582D">
      <w:pPr>
        <w:rPr>
          <w:rFonts w:cs="Arial"/>
          <w:lang w:val="en-US"/>
        </w:rPr>
      </w:pPr>
    </w:p>
    <w:p w14:paraId="40CE0656" w14:textId="607C8C8B" w:rsidR="00653033" w:rsidRPr="00544A17" w:rsidRDefault="00A67A03" w:rsidP="00D6582D">
      <w:pPr>
        <w:rPr>
          <w:rFonts w:cs="Arial"/>
          <w:lang w:val="en-US"/>
        </w:rPr>
      </w:pPr>
      <w:r>
        <w:rPr>
          <w:rFonts w:cs="Arial"/>
          <w:lang w:val="en-US"/>
        </w:rPr>
        <w:t>For the remaining two cases, i</w:t>
      </w:r>
      <w:r w:rsidR="008C257F">
        <w:rPr>
          <w:rFonts w:cs="Arial"/>
          <w:lang w:val="en-US"/>
        </w:rPr>
        <w:t xml:space="preserve">n our view, we do not see reasons </w:t>
      </w:r>
      <w:r w:rsidR="00615857">
        <w:rPr>
          <w:rFonts w:cs="Arial"/>
          <w:lang w:val="en-US"/>
        </w:rPr>
        <w:t xml:space="preserve">why they should be treated differently as those cases that has been agreed. </w:t>
      </w:r>
      <w:r w:rsidR="00022F5A">
        <w:rPr>
          <w:rFonts w:cs="Arial"/>
          <w:lang w:val="en-US"/>
        </w:rPr>
        <w:t>Thus, we propose to</w:t>
      </w:r>
      <w:r w:rsidR="001B48C6">
        <w:rPr>
          <w:rFonts w:cs="Arial"/>
          <w:lang w:val="en-US"/>
        </w:rPr>
        <w:t xml:space="preserve"> </w:t>
      </w:r>
      <w:r w:rsidR="00022F5A">
        <w:rPr>
          <w:rFonts w:cs="Arial"/>
          <w:lang w:val="en-US"/>
        </w:rPr>
        <w:t xml:space="preserve">also </w:t>
      </w:r>
      <w:r w:rsidR="001B48C6">
        <w:rPr>
          <w:rFonts w:cs="Arial"/>
          <w:lang w:val="en-US"/>
        </w:rPr>
        <w:t xml:space="preserve">use </w:t>
      </w:r>
      <w:r w:rsidR="00544A17" w:rsidRPr="00544A17">
        <w:rPr>
          <w:rFonts w:cs="Arial"/>
          <w:lang w:val="en-US"/>
        </w:rPr>
        <w:t>a container (OCTET STRING)</w:t>
      </w:r>
      <w:r w:rsidR="00544A17">
        <w:rPr>
          <w:rFonts w:cs="Arial"/>
          <w:lang w:val="en-US"/>
        </w:rPr>
        <w:t>.</w:t>
      </w:r>
    </w:p>
    <w:p w14:paraId="3CD068FB" w14:textId="77777777" w:rsidR="00653033" w:rsidRPr="00544A17" w:rsidRDefault="00653033" w:rsidP="00D6582D">
      <w:pPr>
        <w:rPr>
          <w:rFonts w:cs="Arial"/>
          <w:lang w:val="en-US"/>
        </w:rPr>
      </w:pPr>
    </w:p>
    <w:p w14:paraId="2502B2BD" w14:textId="693E6148" w:rsidR="009210AC" w:rsidRPr="00672479" w:rsidRDefault="009210AC" w:rsidP="009210AC">
      <w:pPr>
        <w:pStyle w:val="Proposal"/>
      </w:pPr>
      <w:bookmarkStart w:id="3" w:name="_Toc16777664"/>
      <w:proofErr w:type="spellStart"/>
      <w:r w:rsidRPr="009210AC">
        <w:t>eNB</w:t>
      </w:r>
      <w:proofErr w:type="spellEnd"/>
      <w:r w:rsidRPr="009210AC">
        <w:t xml:space="preserve"> </w:t>
      </w:r>
      <w:r>
        <w:t>uses a container (OCTET STRING) for</w:t>
      </w:r>
      <w:r w:rsidRPr="009210AC">
        <w:t xml:space="preserve"> configur</w:t>
      </w:r>
      <w:r>
        <w:t>ing</w:t>
      </w:r>
      <w:r w:rsidRPr="009210AC">
        <w:t xml:space="preserve"> the NR V2X mode 2 </w:t>
      </w:r>
      <w:proofErr w:type="spellStart"/>
      <w:r w:rsidRPr="009210AC">
        <w:t>sidelink</w:t>
      </w:r>
      <w:proofErr w:type="spellEnd"/>
      <w:r w:rsidRPr="009210AC">
        <w:t xml:space="preserve"> resource pool or type 1 configured grant for NR V2X </w:t>
      </w:r>
      <w:proofErr w:type="spellStart"/>
      <w:r w:rsidRPr="009210AC">
        <w:t>sidelink</w:t>
      </w:r>
      <w:proofErr w:type="spellEnd"/>
      <w:r w:rsidRPr="009210AC">
        <w:t xml:space="preserve"> communication via dedicated signalling</w:t>
      </w:r>
      <w:r w:rsidRPr="00672479">
        <w:t>.</w:t>
      </w:r>
      <w:bookmarkEnd w:id="3"/>
    </w:p>
    <w:p w14:paraId="21CDB0CF" w14:textId="1AB91227" w:rsidR="009210AC" w:rsidRPr="00672479" w:rsidRDefault="00166177" w:rsidP="009210AC">
      <w:pPr>
        <w:pStyle w:val="Proposal"/>
      </w:pPr>
      <w:bookmarkStart w:id="4" w:name="_Toc16777665"/>
      <w:r>
        <w:t>LTE</w:t>
      </w:r>
      <w:r w:rsidRPr="00166177">
        <w:t xml:space="preserve"> </w:t>
      </w:r>
      <w:proofErr w:type="spellStart"/>
      <w:r w:rsidRPr="00166177">
        <w:t>Sidelink</w:t>
      </w:r>
      <w:proofErr w:type="spellEnd"/>
      <w:r w:rsidRPr="00166177">
        <w:t xml:space="preserve"> UE information and/or </w:t>
      </w:r>
      <w:r>
        <w:t>LTE</w:t>
      </w:r>
      <w:r w:rsidRPr="00166177">
        <w:t xml:space="preserve"> UE Assistance information will be transmitted as container (OCTET STRING) </w:t>
      </w:r>
      <w:r>
        <w:t>using</w:t>
      </w:r>
      <w:r w:rsidRPr="00166177">
        <w:t xml:space="preserve"> </w:t>
      </w:r>
      <w:r>
        <w:t xml:space="preserve">relevant </w:t>
      </w:r>
      <w:r w:rsidRPr="00166177">
        <w:t xml:space="preserve">information </w:t>
      </w:r>
      <w:r>
        <w:t>from</w:t>
      </w:r>
      <w:r w:rsidRPr="00166177">
        <w:t xml:space="preserve"> </w:t>
      </w:r>
      <w:r>
        <w:t>LTE</w:t>
      </w:r>
      <w:r w:rsidRPr="00166177">
        <w:t xml:space="preserve"> RRC</w:t>
      </w:r>
      <w:r w:rsidR="009210AC" w:rsidRPr="00672479">
        <w:t>.</w:t>
      </w:r>
      <w:bookmarkEnd w:id="4"/>
    </w:p>
    <w:p w14:paraId="543F8CA0" w14:textId="38632594" w:rsidR="009210AC" w:rsidRDefault="009210AC" w:rsidP="00D6582D">
      <w:pPr>
        <w:rPr>
          <w:rFonts w:cs="Arial"/>
        </w:rPr>
      </w:pPr>
    </w:p>
    <w:p w14:paraId="1B213A39" w14:textId="1082EF5C" w:rsidR="00DF4620" w:rsidRDefault="00DC1245" w:rsidP="00D6582D">
      <w:pPr>
        <w:rPr>
          <w:rFonts w:eastAsiaTheme="minorEastAsia" w:cs="Arial"/>
          <w:lang w:val="en-US"/>
        </w:rPr>
      </w:pPr>
      <w:r>
        <w:rPr>
          <w:rFonts w:eastAsiaTheme="minorEastAsia" w:cs="Arial"/>
          <w:lang w:val="en-US"/>
        </w:rPr>
        <w:t>Another aspect worth discussion i</w:t>
      </w:r>
      <w:r w:rsidR="00CD6957">
        <w:rPr>
          <w:rFonts w:eastAsiaTheme="minorEastAsia" w:cs="Arial"/>
          <w:lang w:val="en-US"/>
        </w:rPr>
        <w:t>s the HARQ procedure</w:t>
      </w:r>
      <w:r w:rsidR="008C07B2">
        <w:rPr>
          <w:rFonts w:eastAsiaTheme="minorEastAsia" w:cs="Arial"/>
          <w:lang w:val="en-US"/>
        </w:rPr>
        <w:t xml:space="preserve"> in inter-RAT scheduling case</w:t>
      </w:r>
      <w:r w:rsidR="004600F5">
        <w:rPr>
          <w:rFonts w:eastAsiaTheme="minorEastAsia" w:cs="Arial"/>
          <w:lang w:val="en-US"/>
        </w:rPr>
        <w:t>. RAN1 has agreed that for inter-RAT scheduling</w:t>
      </w:r>
      <w:r w:rsidR="00BC36AF">
        <w:rPr>
          <w:rFonts w:eastAsiaTheme="minorEastAsia" w:cs="Arial"/>
          <w:lang w:val="en-US"/>
        </w:rPr>
        <w:t xml:space="preserve">, when NR </w:t>
      </w:r>
      <w:proofErr w:type="spellStart"/>
      <w:r w:rsidR="00BC36AF">
        <w:rPr>
          <w:rFonts w:eastAsiaTheme="minorEastAsia" w:cs="Arial"/>
          <w:lang w:val="en-US"/>
        </w:rPr>
        <w:t>Uu</w:t>
      </w:r>
      <w:proofErr w:type="spellEnd"/>
      <w:r w:rsidR="00BC36AF">
        <w:rPr>
          <w:rFonts w:eastAsiaTheme="minorEastAsia" w:cs="Arial"/>
          <w:lang w:val="en-US"/>
        </w:rPr>
        <w:t xml:space="preserve"> schedules LTE SL</w:t>
      </w:r>
      <w:r w:rsidR="00573549">
        <w:rPr>
          <w:rFonts w:eastAsiaTheme="minorEastAsia" w:cs="Arial"/>
          <w:lang w:val="en-US"/>
        </w:rPr>
        <w:t xml:space="preserve"> </w:t>
      </w:r>
      <w:r w:rsidR="00BC36AF">
        <w:rPr>
          <w:rFonts w:eastAsiaTheme="minorEastAsia" w:cs="Arial"/>
          <w:lang w:val="en-US"/>
        </w:rPr>
        <w:t xml:space="preserve">only SPS </w:t>
      </w:r>
      <w:r w:rsidR="00573549">
        <w:rPr>
          <w:rFonts w:eastAsiaTheme="minorEastAsia" w:cs="Arial"/>
          <w:lang w:val="en-US"/>
        </w:rPr>
        <w:t xml:space="preserve">scheduling based on DCI activation/release is supported, when LTE </w:t>
      </w:r>
      <w:proofErr w:type="spellStart"/>
      <w:r w:rsidR="00573549">
        <w:rPr>
          <w:rFonts w:eastAsiaTheme="minorEastAsia" w:cs="Arial"/>
          <w:lang w:val="en-US"/>
        </w:rPr>
        <w:t>Uu</w:t>
      </w:r>
      <w:proofErr w:type="spellEnd"/>
      <w:r w:rsidR="00573549">
        <w:rPr>
          <w:rFonts w:eastAsiaTheme="minorEastAsia" w:cs="Arial"/>
          <w:lang w:val="en-US"/>
        </w:rPr>
        <w:t xml:space="preserve"> schedules NR SL only type </w:t>
      </w:r>
      <w:r w:rsidR="00AA5B7C">
        <w:rPr>
          <w:rFonts w:eastAsiaTheme="minorEastAsia" w:cs="Arial"/>
          <w:lang w:val="en-US"/>
        </w:rPr>
        <w:t xml:space="preserve">1 </w:t>
      </w:r>
      <w:r w:rsidR="004D7CF7">
        <w:rPr>
          <w:rFonts w:eastAsiaTheme="minorEastAsia" w:cs="Arial"/>
          <w:lang w:val="en-US"/>
        </w:rPr>
        <w:t>scheduling</w:t>
      </w:r>
      <w:r w:rsidR="00B65840">
        <w:rPr>
          <w:rFonts w:eastAsiaTheme="minorEastAsia" w:cs="Arial"/>
          <w:lang w:val="en-US"/>
        </w:rPr>
        <w:t xml:space="preserve"> </w:t>
      </w:r>
      <w:r w:rsidR="003139BD">
        <w:rPr>
          <w:rFonts w:eastAsiaTheme="minorEastAsia" w:cs="Arial"/>
          <w:lang w:val="en-US"/>
        </w:rPr>
        <w:t>(configured/activated/deactivated)</w:t>
      </w:r>
      <w:r w:rsidR="00262A1E">
        <w:rPr>
          <w:rFonts w:eastAsiaTheme="minorEastAsia" w:cs="Arial"/>
          <w:lang w:val="en-US"/>
        </w:rPr>
        <w:t xml:space="preserve"> </w:t>
      </w:r>
      <w:r w:rsidR="004F259A">
        <w:rPr>
          <w:rFonts w:eastAsiaTheme="minorEastAsia" w:cs="Arial"/>
          <w:lang w:val="en-US"/>
        </w:rPr>
        <w:t xml:space="preserve">is supported. </w:t>
      </w:r>
      <w:r w:rsidR="002941DE">
        <w:rPr>
          <w:rFonts w:eastAsiaTheme="minorEastAsia" w:cs="Arial"/>
          <w:lang w:val="en-US"/>
        </w:rPr>
        <w:t xml:space="preserve">Since dynamic </w:t>
      </w:r>
      <w:r w:rsidR="005B064F">
        <w:rPr>
          <w:rFonts w:eastAsiaTheme="minorEastAsia" w:cs="Arial"/>
          <w:lang w:val="en-US"/>
        </w:rPr>
        <w:t xml:space="preserve">inter-RAT scheduling is not supported, </w:t>
      </w:r>
      <w:r w:rsidR="00225060">
        <w:rPr>
          <w:rFonts w:eastAsiaTheme="minorEastAsia" w:cs="Arial"/>
          <w:lang w:val="en-US"/>
        </w:rPr>
        <w:t xml:space="preserve">we believe there is no need to introduce SR/BSR for such purpose. </w:t>
      </w:r>
    </w:p>
    <w:tbl>
      <w:tblPr>
        <w:tblStyle w:val="TableGrid"/>
        <w:tblW w:w="0" w:type="auto"/>
        <w:tblLook w:val="04A0" w:firstRow="1" w:lastRow="0" w:firstColumn="1" w:lastColumn="0" w:noHBand="0" w:noVBand="1"/>
      </w:tblPr>
      <w:tblGrid>
        <w:gridCol w:w="9629"/>
      </w:tblGrid>
      <w:tr w:rsidR="00DF4620" w14:paraId="1BFC64D7" w14:textId="77777777" w:rsidTr="00DF4620">
        <w:tc>
          <w:tcPr>
            <w:tcW w:w="9629" w:type="dxa"/>
          </w:tcPr>
          <w:p w14:paraId="3CB554A3" w14:textId="41ECFCBD" w:rsidR="00DF4620" w:rsidRPr="001F5D10" w:rsidRDefault="00457B7E" w:rsidP="00DF4620">
            <w:pPr>
              <w:rPr>
                <w:rFonts w:cs="Arial"/>
                <w:lang w:eastAsia="x-none"/>
              </w:rPr>
            </w:pPr>
            <w:r w:rsidRPr="001F5D10">
              <w:rPr>
                <w:rFonts w:cs="Arial"/>
              </w:rPr>
              <w:t xml:space="preserve">RAN1-ah1901 </w:t>
            </w:r>
          </w:p>
          <w:p w14:paraId="1E22CCB0" w14:textId="6838A7AF" w:rsidR="0041461D" w:rsidRPr="001F5D10" w:rsidRDefault="0041461D" w:rsidP="001F5D10">
            <w:pPr>
              <w:rPr>
                <w:rFonts w:cs="Arial"/>
                <w:lang w:eastAsia="x-none"/>
              </w:rPr>
            </w:pPr>
            <w:r w:rsidRPr="001F5D10">
              <w:rPr>
                <w:rFonts w:cs="Arial"/>
                <w:highlight w:val="green"/>
                <w:lang w:eastAsia="x-none"/>
              </w:rPr>
              <w:t>Agreements</w:t>
            </w:r>
            <w:r w:rsidRPr="001F5D10">
              <w:rPr>
                <w:rFonts w:cs="Arial"/>
                <w:lang w:eastAsia="x-none"/>
              </w:rPr>
              <w:t>:</w:t>
            </w:r>
          </w:p>
          <w:p w14:paraId="137CC477" w14:textId="3DAC82CD" w:rsidR="00DF4620" w:rsidRPr="001F5D10" w:rsidRDefault="00DF4620" w:rsidP="00DF4620">
            <w:pPr>
              <w:pStyle w:val="ListParagraph"/>
              <w:numPr>
                <w:ilvl w:val="0"/>
                <w:numId w:val="13"/>
              </w:numPr>
              <w:overflowPunct/>
              <w:autoSpaceDE/>
              <w:autoSpaceDN/>
              <w:adjustRightInd/>
              <w:spacing w:after="160" w:line="259" w:lineRule="auto"/>
              <w:contextualSpacing/>
              <w:textAlignment w:val="auto"/>
              <w:rPr>
                <w:rFonts w:ascii="Arial" w:hAnsi="Arial" w:cs="Arial"/>
                <w:sz w:val="20"/>
                <w:szCs w:val="20"/>
              </w:rPr>
            </w:pPr>
            <w:r w:rsidRPr="001F5D10">
              <w:rPr>
                <w:rFonts w:ascii="Arial" w:hAnsi="Arial" w:cs="Arial"/>
                <w:sz w:val="20"/>
                <w:szCs w:val="20"/>
              </w:rPr>
              <w:t xml:space="preserve">LTE Uu to schedule NR sidelink mode 1 is supported: </w:t>
            </w:r>
          </w:p>
          <w:p w14:paraId="3489B524" w14:textId="77777777" w:rsidR="00DF4620" w:rsidRPr="001F5D10" w:rsidRDefault="00DF4620" w:rsidP="00DF4620">
            <w:pPr>
              <w:pStyle w:val="ListParagraph"/>
              <w:numPr>
                <w:ilvl w:val="1"/>
                <w:numId w:val="13"/>
              </w:numPr>
              <w:overflowPunct/>
              <w:autoSpaceDE/>
              <w:autoSpaceDN/>
              <w:adjustRightInd/>
              <w:spacing w:after="160" w:line="259" w:lineRule="auto"/>
              <w:contextualSpacing/>
              <w:textAlignment w:val="auto"/>
              <w:rPr>
                <w:rFonts w:ascii="Arial" w:hAnsi="Arial" w:cs="Arial"/>
                <w:sz w:val="20"/>
                <w:szCs w:val="20"/>
              </w:rPr>
            </w:pPr>
            <w:r w:rsidRPr="001F5D10">
              <w:rPr>
                <w:rFonts w:ascii="Arial" w:hAnsi="Arial" w:cs="Arial"/>
                <w:sz w:val="20"/>
                <w:szCs w:val="20"/>
              </w:rPr>
              <w:t>The support is done based on type 1 configured grant with configuration restricted to time/frequency resources &amp; periodicity, with the condition that no additional function/procedure is to be introduced for LTE Uu</w:t>
            </w:r>
          </w:p>
          <w:p w14:paraId="21F6EA7D" w14:textId="77777777" w:rsidR="00DF4620" w:rsidRPr="001F5D10" w:rsidRDefault="00DF4620" w:rsidP="00DF4620">
            <w:pPr>
              <w:pStyle w:val="ListParagraph"/>
              <w:numPr>
                <w:ilvl w:val="1"/>
                <w:numId w:val="13"/>
              </w:numPr>
              <w:overflowPunct/>
              <w:autoSpaceDE/>
              <w:autoSpaceDN/>
              <w:adjustRightInd/>
              <w:spacing w:after="160" w:line="259" w:lineRule="auto"/>
              <w:contextualSpacing/>
              <w:textAlignment w:val="auto"/>
              <w:rPr>
                <w:rFonts w:ascii="Arial" w:hAnsi="Arial" w:cs="Arial"/>
                <w:sz w:val="20"/>
                <w:szCs w:val="20"/>
              </w:rPr>
            </w:pPr>
            <w:r w:rsidRPr="001F5D10">
              <w:rPr>
                <w:rFonts w:ascii="Arial" w:hAnsi="Arial" w:cs="Arial"/>
                <w:sz w:val="20"/>
                <w:szCs w:val="20"/>
              </w:rPr>
              <w:t>Both DCI based scheduling and type 2 configured grant scheduling are not supported for scheduling NR sidelink mode 1</w:t>
            </w:r>
          </w:p>
          <w:p w14:paraId="2179CC71" w14:textId="3990FE9A" w:rsidR="00DF4620" w:rsidRPr="00BC36AF" w:rsidRDefault="00D17A14" w:rsidP="00D6582D">
            <w:pPr>
              <w:rPr>
                <w:rFonts w:eastAsiaTheme="minorEastAsia" w:cs="Arial"/>
                <w:lang w:val="x-none"/>
              </w:rPr>
            </w:pPr>
            <w:r w:rsidRPr="00F151F7">
              <w:rPr>
                <w:rFonts w:cs="Arial"/>
                <w:b/>
              </w:rPr>
              <w:t>RAN1#96bis</w:t>
            </w:r>
          </w:p>
          <w:p w14:paraId="58A4CA37" w14:textId="77777777" w:rsidR="0051576C" w:rsidRPr="001F5D10" w:rsidRDefault="0051576C" w:rsidP="0051576C">
            <w:pPr>
              <w:rPr>
                <w:rFonts w:cs="Arial"/>
                <w:b/>
              </w:rPr>
            </w:pPr>
            <w:r w:rsidRPr="00BA1071">
              <w:rPr>
                <w:rFonts w:cs="Arial"/>
                <w:highlight w:val="green"/>
              </w:rPr>
              <w:t>Agreements</w:t>
            </w:r>
            <w:r w:rsidRPr="00BA1071">
              <w:rPr>
                <w:rFonts w:cs="Arial"/>
                <w:b/>
              </w:rPr>
              <w:t>:</w:t>
            </w:r>
          </w:p>
          <w:p w14:paraId="44EE7E8A" w14:textId="77777777" w:rsidR="0051576C" w:rsidRPr="00BC36AF" w:rsidRDefault="0051576C" w:rsidP="0051576C">
            <w:pPr>
              <w:rPr>
                <w:rFonts w:cs="Arial"/>
              </w:rPr>
            </w:pPr>
            <w:r w:rsidRPr="00BC36AF">
              <w:rPr>
                <w:rFonts w:cs="Arial"/>
              </w:rPr>
              <w:t xml:space="preserve">Regarding RRC-based versus DCI-based activation/release of LTE </w:t>
            </w:r>
            <w:proofErr w:type="spellStart"/>
            <w:r w:rsidRPr="00BC36AF">
              <w:rPr>
                <w:rFonts w:cs="Arial"/>
              </w:rPr>
              <w:t>sidelink</w:t>
            </w:r>
            <w:proofErr w:type="spellEnd"/>
            <w:r w:rsidRPr="00BC36AF">
              <w:rPr>
                <w:rFonts w:cs="Arial"/>
              </w:rPr>
              <w:t xml:space="preserve"> SPS, RAN1 agrees to make the choice </w:t>
            </w:r>
            <w:proofErr w:type="gramStart"/>
            <w:r w:rsidRPr="00BC36AF">
              <w:rPr>
                <w:rFonts w:cs="Arial"/>
              </w:rPr>
              <w:t>on the basis of</w:t>
            </w:r>
            <w:proofErr w:type="gramEnd"/>
            <w:r w:rsidRPr="00BC36AF">
              <w:rPr>
                <w:rFonts w:cs="Arial"/>
              </w:rPr>
              <w:t xml:space="preserve"> at least:</w:t>
            </w:r>
          </w:p>
          <w:p w14:paraId="0C7956D1" w14:textId="77777777" w:rsidR="0051576C" w:rsidRPr="001F5D10" w:rsidRDefault="0051576C" w:rsidP="0051576C">
            <w:pPr>
              <w:pStyle w:val="ListParagraph"/>
              <w:numPr>
                <w:ilvl w:val="0"/>
                <w:numId w:val="14"/>
              </w:numPr>
              <w:overflowPunct/>
              <w:autoSpaceDE/>
              <w:autoSpaceDN/>
              <w:adjustRightInd/>
              <w:spacing w:after="120"/>
              <w:jc w:val="both"/>
              <w:textAlignment w:val="auto"/>
              <w:rPr>
                <w:rFonts w:ascii="Arial" w:hAnsi="Arial" w:cs="Arial"/>
                <w:sz w:val="20"/>
                <w:szCs w:val="20"/>
                <w:lang w:val="en-US"/>
              </w:rPr>
            </w:pPr>
            <w:r w:rsidRPr="001F5D10">
              <w:rPr>
                <w:rFonts w:ascii="Arial" w:hAnsi="Arial" w:cs="Arial"/>
                <w:sz w:val="20"/>
                <w:szCs w:val="20"/>
                <w:lang w:val="en-US"/>
              </w:rPr>
              <w:t>Spec impact</w:t>
            </w:r>
          </w:p>
          <w:p w14:paraId="26044BDF" w14:textId="77777777" w:rsidR="0051576C" w:rsidRPr="001F5D10" w:rsidRDefault="0051576C" w:rsidP="0051576C">
            <w:pPr>
              <w:pStyle w:val="ListParagraph"/>
              <w:numPr>
                <w:ilvl w:val="0"/>
                <w:numId w:val="14"/>
              </w:numPr>
              <w:overflowPunct/>
              <w:autoSpaceDE/>
              <w:autoSpaceDN/>
              <w:adjustRightInd/>
              <w:spacing w:after="120"/>
              <w:jc w:val="both"/>
              <w:textAlignment w:val="auto"/>
              <w:rPr>
                <w:rFonts w:ascii="Arial" w:hAnsi="Arial" w:cs="Arial"/>
                <w:sz w:val="20"/>
                <w:szCs w:val="20"/>
                <w:lang w:val="en-US"/>
              </w:rPr>
            </w:pPr>
            <w:r w:rsidRPr="001F5D10">
              <w:rPr>
                <w:rFonts w:ascii="Arial" w:hAnsi="Arial" w:cs="Arial"/>
                <w:sz w:val="20"/>
                <w:szCs w:val="20"/>
                <w:lang w:val="en-US"/>
              </w:rPr>
              <w:t>Flexibility</w:t>
            </w:r>
          </w:p>
          <w:p w14:paraId="0DDF697B" w14:textId="77777777" w:rsidR="0051576C" w:rsidRPr="001F5D10" w:rsidRDefault="0051576C" w:rsidP="0051576C">
            <w:pPr>
              <w:pStyle w:val="ListParagraph"/>
              <w:numPr>
                <w:ilvl w:val="0"/>
                <w:numId w:val="14"/>
              </w:numPr>
              <w:overflowPunct/>
              <w:autoSpaceDE/>
              <w:autoSpaceDN/>
              <w:adjustRightInd/>
              <w:spacing w:after="120"/>
              <w:jc w:val="both"/>
              <w:textAlignment w:val="auto"/>
              <w:rPr>
                <w:rFonts w:ascii="Arial" w:hAnsi="Arial" w:cs="Arial"/>
                <w:sz w:val="20"/>
                <w:szCs w:val="20"/>
                <w:lang w:val="en-US"/>
              </w:rPr>
            </w:pPr>
            <w:r w:rsidRPr="001F5D10">
              <w:rPr>
                <w:rFonts w:ascii="Arial" w:hAnsi="Arial" w:cs="Arial"/>
                <w:sz w:val="20"/>
                <w:szCs w:val="20"/>
                <w:lang w:val="en-US"/>
              </w:rPr>
              <w:t>Performance, including latency</w:t>
            </w:r>
          </w:p>
          <w:p w14:paraId="4EDE4164" w14:textId="77777777" w:rsidR="0051576C" w:rsidRPr="005417CB" w:rsidRDefault="0051576C" w:rsidP="0051576C">
            <w:pPr>
              <w:pStyle w:val="ListParagraph"/>
              <w:numPr>
                <w:ilvl w:val="0"/>
                <w:numId w:val="14"/>
              </w:numPr>
              <w:overflowPunct/>
              <w:autoSpaceDE/>
              <w:autoSpaceDN/>
              <w:adjustRightInd/>
              <w:spacing w:after="120"/>
              <w:jc w:val="both"/>
              <w:textAlignment w:val="auto"/>
              <w:rPr>
                <w:rFonts w:cs="Arial"/>
                <w:lang w:val="en-US"/>
              </w:rPr>
            </w:pPr>
            <w:r w:rsidRPr="005417CB">
              <w:rPr>
                <w:rFonts w:cs="Arial"/>
                <w:lang w:val="en-US"/>
              </w:rPr>
              <w:t>Implementation complexity</w:t>
            </w:r>
          </w:p>
          <w:p w14:paraId="1942351D" w14:textId="57D12A16" w:rsidR="0051576C" w:rsidRPr="001F5D10" w:rsidRDefault="0051576C" w:rsidP="001F5D10">
            <w:pPr>
              <w:pStyle w:val="ListParagraph"/>
              <w:numPr>
                <w:ilvl w:val="0"/>
                <w:numId w:val="14"/>
              </w:numPr>
              <w:overflowPunct/>
              <w:autoSpaceDE/>
              <w:autoSpaceDN/>
              <w:adjustRightInd/>
              <w:spacing w:after="120"/>
              <w:jc w:val="both"/>
              <w:textAlignment w:val="auto"/>
              <w:rPr>
                <w:rFonts w:cs="Arial"/>
                <w:lang w:val="en-US"/>
              </w:rPr>
            </w:pPr>
            <w:r w:rsidRPr="005417CB">
              <w:rPr>
                <w:rFonts w:cs="Arial"/>
                <w:lang w:val="en-US"/>
              </w:rPr>
              <w:t>Timing of the activation/deactivation</w:t>
            </w:r>
          </w:p>
        </w:tc>
      </w:tr>
    </w:tbl>
    <w:p w14:paraId="3033F7D9" w14:textId="7D053343" w:rsidR="00DF4620" w:rsidRDefault="00225060" w:rsidP="00225060">
      <w:pPr>
        <w:pStyle w:val="Proposal"/>
        <w:rPr>
          <w:rFonts w:eastAsiaTheme="minorEastAsia"/>
          <w:lang w:val="en-US"/>
        </w:rPr>
      </w:pPr>
      <w:bookmarkStart w:id="5" w:name="_Toc16777666"/>
      <w:r>
        <w:rPr>
          <w:rFonts w:eastAsiaTheme="minorEastAsia"/>
          <w:lang w:val="en-US"/>
        </w:rPr>
        <w:t>RAN2 does not introduce SR/BSR for inter-RAT scheduling.</w:t>
      </w:r>
      <w:bookmarkEnd w:id="5"/>
      <w:r>
        <w:rPr>
          <w:rFonts w:eastAsiaTheme="minorEastAsia"/>
          <w:lang w:val="en-US"/>
        </w:rPr>
        <w:t xml:space="preserve"> </w:t>
      </w:r>
    </w:p>
    <w:p w14:paraId="1C6BA9A8" w14:textId="77777777" w:rsidR="007E0DC5" w:rsidRDefault="007E0DC5" w:rsidP="007E0DC5">
      <w:pPr>
        <w:pStyle w:val="Proposal"/>
        <w:numPr>
          <w:ilvl w:val="0"/>
          <w:numId w:val="0"/>
        </w:numPr>
        <w:ind w:left="1701" w:hanging="1701"/>
        <w:rPr>
          <w:rFonts w:eastAsiaTheme="minorEastAsia"/>
          <w:lang w:val="en-US"/>
        </w:rPr>
      </w:pPr>
    </w:p>
    <w:p w14:paraId="7AEDD834" w14:textId="5B2B87F0" w:rsidR="007E0DC5" w:rsidRDefault="007E0DC5" w:rsidP="00781CE5">
      <w:pPr>
        <w:rPr>
          <w:rFonts w:eastAsiaTheme="minorEastAsia"/>
          <w:lang w:val="en-US"/>
        </w:rPr>
      </w:pPr>
      <w:r w:rsidRPr="00F151F7">
        <w:rPr>
          <w:rFonts w:eastAsiaTheme="minorEastAsia"/>
          <w:lang w:val="en-US"/>
        </w:rPr>
        <w:t xml:space="preserve">On the other hand, </w:t>
      </w:r>
      <w:r w:rsidR="00BC272B">
        <w:rPr>
          <w:rFonts w:eastAsiaTheme="minorEastAsia"/>
          <w:lang w:val="en-US"/>
        </w:rPr>
        <w:t>since</w:t>
      </w:r>
      <w:r w:rsidR="00EA2C7A">
        <w:rPr>
          <w:rFonts w:eastAsiaTheme="minorEastAsia"/>
          <w:lang w:val="en-US"/>
        </w:rPr>
        <w:t xml:space="preserve"> HARQ procedure is still supported under inter-RAT scheduling scenario, </w:t>
      </w:r>
      <w:r w:rsidR="00F151F7">
        <w:rPr>
          <w:rFonts w:eastAsiaTheme="minorEastAsia"/>
          <w:lang w:val="en-US"/>
        </w:rPr>
        <w:t xml:space="preserve">NR </w:t>
      </w:r>
      <w:r w:rsidR="00867619">
        <w:rPr>
          <w:rFonts w:eastAsiaTheme="minorEastAsia"/>
          <w:lang w:val="en-US"/>
        </w:rPr>
        <w:t xml:space="preserve">SL </w:t>
      </w:r>
      <w:r w:rsidR="006D3EA5">
        <w:rPr>
          <w:rFonts w:eastAsiaTheme="minorEastAsia"/>
          <w:lang w:val="en-US"/>
        </w:rPr>
        <w:t xml:space="preserve">UE may </w:t>
      </w:r>
      <w:r w:rsidR="00581EE3">
        <w:rPr>
          <w:rFonts w:eastAsiaTheme="minorEastAsia"/>
          <w:lang w:val="en-US"/>
        </w:rPr>
        <w:t>need</w:t>
      </w:r>
      <w:r w:rsidR="006D3EA5">
        <w:rPr>
          <w:rFonts w:eastAsiaTheme="minorEastAsia"/>
          <w:lang w:val="en-US"/>
        </w:rPr>
        <w:t xml:space="preserve"> resources for retransmission. </w:t>
      </w:r>
      <w:r w:rsidR="00400DD0">
        <w:rPr>
          <w:rFonts w:eastAsiaTheme="minorEastAsia"/>
          <w:lang w:val="en-US"/>
        </w:rPr>
        <w:t xml:space="preserve">In this case, since SR/BSR based dynamic </w:t>
      </w:r>
      <w:r w:rsidR="00410EFB">
        <w:rPr>
          <w:rFonts w:eastAsiaTheme="minorEastAsia"/>
          <w:lang w:val="en-US"/>
        </w:rPr>
        <w:t xml:space="preserve">scheduling is not supported, </w:t>
      </w:r>
      <w:r w:rsidR="00D82FE7">
        <w:rPr>
          <w:rFonts w:eastAsiaTheme="minorEastAsia"/>
          <w:lang w:val="en-US"/>
        </w:rPr>
        <w:t xml:space="preserve">NR SL </w:t>
      </w:r>
      <w:r w:rsidR="00FA4A27">
        <w:rPr>
          <w:rFonts w:eastAsiaTheme="minorEastAsia"/>
          <w:lang w:val="en-US"/>
        </w:rPr>
        <w:t xml:space="preserve">UE can only </w:t>
      </w:r>
      <w:r w:rsidR="00254548">
        <w:rPr>
          <w:rFonts w:eastAsiaTheme="minorEastAsia"/>
          <w:lang w:val="en-US"/>
        </w:rPr>
        <w:t>use provided configured grant</w:t>
      </w:r>
      <w:r w:rsidR="004104E1">
        <w:rPr>
          <w:rFonts w:eastAsiaTheme="minorEastAsia"/>
          <w:lang w:val="en-US"/>
        </w:rPr>
        <w:t xml:space="preserve"> for retransmission. </w:t>
      </w:r>
    </w:p>
    <w:p w14:paraId="46F62C74" w14:textId="1775F63A" w:rsidR="00C274A8" w:rsidRPr="00F151F7" w:rsidRDefault="0010337D" w:rsidP="001F5D10">
      <w:pPr>
        <w:pStyle w:val="Proposal"/>
        <w:rPr>
          <w:rFonts w:eastAsiaTheme="minorEastAsia"/>
          <w:lang w:val="en-US"/>
        </w:rPr>
      </w:pPr>
      <w:bookmarkStart w:id="6" w:name="_Toc16777667"/>
      <w:r>
        <w:rPr>
          <w:rFonts w:eastAsiaTheme="minorEastAsia"/>
          <w:lang w:val="en-US"/>
        </w:rPr>
        <w:t xml:space="preserve">NR </w:t>
      </w:r>
      <w:r w:rsidR="00867619">
        <w:rPr>
          <w:rFonts w:eastAsiaTheme="minorEastAsia"/>
          <w:lang w:val="en-US"/>
        </w:rPr>
        <w:t xml:space="preserve">SL </w:t>
      </w:r>
      <w:r w:rsidR="00C274A8" w:rsidRPr="00F151F7">
        <w:rPr>
          <w:rFonts w:eastAsiaTheme="minorEastAsia"/>
          <w:lang w:val="en-US"/>
        </w:rPr>
        <w:t xml:space="preserve">UE </w:t>
      </w:r>
      <w:r w:rsidR="002E1040" w:rsidRPr="00F151F7">
        <w:rPr>
          <w:rFonts w:eastAsiaTheme="minorEastAsia"/>
          <w:lang w:val="en-US"/>
        </w:rPr>
        <w:t>under inter-RAT sche</w:t>
      </w:r>
      <w:r w:rsidR="002E1040" w:rsidRPr="001F5D10">
        <w:rPr>
          <w:rFonts w:eastAsiaTheme="minorEastAsia"/>
          <w:lang w:val="en-US"/>
        </w:rPr>
        <w:t>dul</w:t>
      </w:r>
      <w:r w:rsidR="002E1040">
        <w:rPr>
          <w:rFonts w:eastAsiaTheme="minorEastAsia"/>
          <w:lang w:val="en-US"/>
        </w:rPr>
        <w:t>ing use</w:t>
      </w:r>
      <w:r w:rsidR="00B64BCB">
        <w:rPr>
          <w:rFonts w:eastAsiaTheme="minorEastAsia"/>
          <w:lang w:val="en-US"/>
        </w:rPr>
        <w:t>s</w:t>
      </w:r>
      <w:r w:rsidR="002E1040">
        <w:rPr>
          <w:rFonts w:eastAsiaTheme="minorEastAsia"/>
          <w:lang w:val="en-US"/>
        </w:rPr>
        <w:t xml:space="preserve"> </w:t>
      </w:r>
      <w:r w:rsidR="00B64BCB">
        <w:rPr>
          <w:rFonts w:eastAsiaTheme="minorEastAsia"/>
          <w:lang w:val="en-US"/>
        </w:rPr>
        <w:t>configured grant for both initial transmission and re-transmission.</w:t>
      </w:r>
      <w:bookmarkEnd w:id="6"/>
      <w:r w:rsidR="00B64BCB">
        <w:rPr>
          <w:rFonts w:eastAsiaTheme="minorEastAsia"/>
          <w:lang w:val="en-US"/>
        </w:rPr>
        <w:t xml:space="preserve"> </w:t>
      </w:r>
    </w:p>
    <w:p w14:paraId="45EBA4B2" w14:textId="77777777" w:rsidR="008C07B2" w:rsidRPr="002E1040" w:rsidRDefault="008C07B2" w:rsidP="00D6582D">
      <w:pPr>
        <w:rPr>
          <w:rFonts w:eastAsiaTheme="minorEastAsia" w:cs="Arial"/>
          <w:lang w:val="en-US"/>
        </w:rPr>
      </w:pPr>
    </w:p>
    <w:p w14:paraId="50EDE9CD" w14:textId="0DDF4CE1" w:rsidR="00407B85" w:rsidRDefault="00407B85" w:rsidP="001F5D10">
      <w:pPr>
        <w:rPr>
          <w:rFonts w:cs="Arial"/>
          <w:lang w:eastAsia="ja-JP"/>
        </w:rPr>
      </w:pPr>
      <w:r>
        <w:rPr>
          <w:rFonts w:cs="Arial"/>
        </w:rPr>
        <w:t xml:space="preserve">Besides, since SR/BSR is not supported for inter-RAT scheduling, </w:t>
      </w:r>
      <w:r w:rsidR="002F142D">
        <w:rPr>
          <w:rFonts w:cs="Arial"/>
        </w:rPr>
        <w:t xml:space="preserve">UE can only </w:t>
      </w:r>
      <w:r w:rsidR="00752E85">
        <w:rPr>
          <w:rFonts w:cs="Arial"/>
        </w:rPr>
        <w:t xml:space="preserve">indicate the demand of resources for transmission via UAI. </w:t>
      </w:r>
      <w:r w:rsidR="00E167CD">
        <w:rPr>
          <w:rFonts w:cs="Arial"/>
        </w:rPr>
        <w:t xml:space="preserve">One way to do it </w:t>
      </w:r>
      <w:r w:rsidR="00F81BE2">
        <w:rPr>
          <w:rFonts w:cs="Arial"/>
        </w:rPr>
        <w:t xml:space="preserve">is to add an explicit indicator </w:t>
      </w:r>
      <w:r w:rsidR="00C47D11">
        <w:rPr>
          <w:rFonts w:cs="Arial"/>
        </w:rPr>
        <w:t>within the UAI</w:t>
      </w:r>
      <w:r w:rsidR="00093A04">
        <w:rPr>
          <w:rFonts w:cs="Arial"/>
        </w:rPr>
        <w:t xml:space="preserve"> such that </w:t>
      </w:r>
      <w:proofErr w:type="spellStart"/>
      <w:r w:rsidR="00093A04">
        <w:rPr>
          <w:rFonts w:cs="Arial"/>
        </w:rPr>
        <w:t>gNB</w:t>
      </w:r>
      <w:proofErr w:type="spellEnd"/>
      <w:r w:rsidR="00093A04">
        <w:rPr>
          <w:rFonts w:cs="Arial"/>
        </w:rPr>
        <w:t xml:space="preserve"> </w:t>
      </w:r>
      <w:r w:rsidR="0021288B">
        <w:rPr>
          <w:rFonts w:cs="Arial"/>
        </w:rPr>
        <w:lastRenderedPageBreak/>
        <w:t xml:space="preserve">can understand the traffic </w:t>
      </w:r>
      <w:r w:rsidR="00EE03DD">
        <w:rPr>
          <w:rFonts w:cs="Arial"/>
        </w:rPr>
        <w:t>indicated</w:t>
      </w:r>
      <w:r w:rsidR="0021288B">
        <w:rPr>
          <w:rFonts w:cs="Arial"/>
        </w:rPr>
        <w:t xml:space="preserve"> in the UAI</w:t>
      </w:r>
      <w:r w:rsidR="00EE03DD">
        <w:rPr>
          <w:rFonts w:cs="Arial"/>
        </w:rPr>
        <w:t xml:space="preserve"> is activated</w:t>
      </w:r>
      <w:r w:rsidR="00392576">
        <w:rPr>
          <w:rFonts w:cs="Arial"/>
        </w:rPr>
        <w:t xml:space="preserve"> so that </w:t>
      </w:r>
      <w:proofErr w:type="spellStart"/>
      <w:r w:rsidR="00392576">
        <w:rPr>
          <w:rFonts w:cs="Arial"/>
        </w:rPr>
        <w:t>gNB</w:t>
      </w:r>
      <w:proofErr w:type="spellEnd"/>
      <w:r w:rsidR="00392576">
        <w:rPr>
          <w:rFonts w:cs="Arial"/>
        </w:rPr>
        <w:t xml:space="preserve"> can provide grant immediately. Note that in intra-RAT scheduling, </w:t>
      </w:r>
      <w:r w:rsidR="00D2033C">
        <w:rPr>
          <w:rFonts w:cs="Arial"/>
        </w:rPr>
        <w:t xml:space="preserve">traffic indicated in the UAI may be activated later and </w:t>
      </w:r>
      <w:r w:rsidR="00D86158">
        <w:rPr>
          <w:rFonts w:cs="Arial"/>
        </w:rPr>
        <w:t>network can understand the activated traffic pattern by linking</w:t>
      </w:r>
      <w:r w:rsidR="008D156A">
        <w:rPr>
          <w:rFonts w:cs="Arial"/>
        </w:rPr>
        <w:t xml:space="preserve"> the LCH information in</w:t>
      </w:r>
      <w:r w:rsidR="00D86158">
        <w:rPr>
          <w:rFonts w:cs="Arial"/>
        </w:rPr>
        <w:t xml:space="preserve"> BSR to </w:t>
      </w:r>
      <w:r w:rsidR="008D156A">
        <w:rPr>
          <w:rFonts w:cs="Arial"/>
        </w:rPr>
        <w:t xml:space="preserve">UAI. </w:t>
      </w:r>
      <w:r w:rsidR="0021288B">
        <w:rPr>
          <w:rFonts w:cs="Arial"/>
        </w:rPr>
        <w:t xml:space="preserve"> </w:t>
      </w:r>
    </w:p>
    <w:p w14:paraId="522F512A" w14:textId="77777777" w:rsidR="00407B85" w:rsidRPr="009D4EA6" w:rsidRDefault="00407B85" w:rsidP="00407B85">
      <w:pPr>
        <w:rPr>
          <w:rFonts w:cs="Arial"/>
          <w:lang w:val="x-none"/>
        </w:rPr>
      </w:pPr>
    </w:p>
    <w:p w14:paraId="7C498894" w14:textId="34F41CE4" w:rsidR="00407B85" w:rsidRPr="00672479" w:rsidRDefault="008D156A" w:rsidP="00407B85">
      <w:pPr>
        <w:pStyle w:val="Proposal"/>
      </w:pPr>
      <w:bookmarkStart w:id="7" w:name="_Toc16777668"/>
      <w:r>
        <w:t xml:space="preserve">For inter-RAT scheduling, explicit indicator is </w:t>
      </w:r>
      <w:r w:rsidR="00A6764D">
        <w:t xml:space="preserve">needed in </w:t>
      </w:r>
      <w:r w:rsidR="00407B85" w:rsidRPr="00B87767">
        <w:t xml:space="preserve">UAI </w:t>
      </w:r>
      <w:r w:rsidR="00A6764D">
        <w:t>to identify activated traffic</w:t>
      </w:r>
      <w:r w:rsidR="00407B85">
        <w:t>.</w:t>
      </w:r>
      <w:bookmarkEnd w:id="7"/>
      <w:r w:rsidR="00407B85">
        <w:t xml:space="preserve"> </w:t>
      </w:r>
    </w:p>
    <w:p w14:paraId="1077988A" w14:textId="77777777" w:rsidR="00B26443" w:rsidRPr="001F5D10" w:rsidRDefault="00B26443" w:rsidP="00D6582D">
      <w:pPr>
        <w:rPr>
          <w:rFonts w:eastAsiaTheme="minorEastAsia" w:cs="Arial"/>
          <w:b/>
        </w:rPr>
      </w:pPr>
    </w:p>
    <w:p w14:paraId="7E0CA1CC" w14:textId="77777777" w:rsidR="00201BEF" w:rsidRPr="007A6B98" w:rsidRDefault="00201BEF" w:rsidP="00201BEF">
      <w:pPr>
        <w:pStyle w:val="Heading1"/>
        <w:overflowPunct/>
        <w:autoSpaceDE/>
        <w:autoSpaceDN/>
        <w:adjustRightInd/>
        <w:textAlignment w:val="auto"/>
      </w:pPr>
      <w:bookmarkStart w:id="8" w:name="_Ref528871418"/>
      <w:r w:rsidRPr="007A6B98">
        <w:t>Conclusions</w:t>
      </w:r>
      <w:bookmarkEnd w:id="8"/>
    </w:p>
    <w:p w14:paraId="777D98A4" w14:textId="1DB56DC0" w:rsidR="00201BEF" w:rsidRDefault="00201BEF" w:rsidP="00201BEF">
      <w:pPr>
        <w:rPr>
          <w:rFonts w:cs="Arial"/>
        </w:rPr>
      </w:pPr>
      <w:r w:rsidRPr="007A6B98">
        <w:rPr>
          <w:rFonts w:cs="Arial"/>
        </w:rPr>
        <w:t xml:space="preserve">Based on the discussion in section </w:t>
      </w:r>
      <w:r w:rsidR="00544A17">
        <w:rPr>
          <w:rFonts w:cs="Arial"/>
        </w:rPr>
        <w:fldChar w:fldCharType="begin"/>
      </w:r>
      <w:r w:rsidR="00544A17">
        <w:rPr>
          <w:rFonts w:cs="Arial"/>
        </w:rPr>
        <w:instrText xml:space="preserve"> REF _Ref16263906 \r \h </w:instrText>
      </w:r>
      <w:r w:rsidR="00544A17">
        <w:rPr>
          <w:rFonts w:cs="Arial"/>
        </w:rPr>
      </w:r>
      <w:r w:rsidR="00544A17">
        <w:rPr>
          <w:rFonts w:cs="Arial"/>
        </w:rPr>
        <w:fldChar w:fldCharType="separate"/>
      </w:r>
      <w:r w:rsidR="00544A17">
        <w:rPr>
          <w:rFonts w:cs="Arial"/>
        </w:rPr>
        <w:t>2</w:t>
      </w:r>
      <w:r w:rsidR="00544A17">
        <w:rPr>
          <w:rFonts w:cs="Arial"/>
        </w:rPr>
        <w:fldChar w:fldCharType="end"/>
      </w:r>
      <w:r w:rsidR="00544A17">
        <w:rPr>
          <w:rFonts w:cs="Arial"/>
        </w:rPr>
        <w:t xml:space="preserve"> </w:t>
      </w:r>
      <w:r w:rsidRPr="007A6B98">
        <w:rPr>
          <w:rFonts w:cs="Arial"/>
        </w:rPr>
        <w:t>we propose the following:</w:t>
      </w:r>
    </w:p>
    <w:p w14:paraId="54401CDD" w14:textId="77777777" w:rsidR="00CF43BC" w:rsidRDefault="00CF43BC" w:rsidP="00201BEF">
      <w:pPr>
        <w:rPr>
          <w:rFonts w:cs="Arial"/>
        </w:rPr>
      </w:pPr>
    </w:p>
    <w:p w14:paraId="48F31993" w14:textId="77777777" w:rsidR="001F5D10" w:rsidRPr="001F5D10" w:rsidRDefault="002D37C0" w:rsidP="001F5D10">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r w:rsidRPr="001F5D10">
        <w:rPr>
          <w:rStyle w:val="Hyperlink"/>
          <w:b/>
          <w:noProof/>
        </w:rPr>
        <w:fldChar w:fldCharType="begin"/>
      </w:r>
      <w:r w:rsidRPr="001F5D10">
        <w:rPr>
          <w:rStyle w:val="Hyperlink"/>
          <w:b/>
          <w:noProof/>
        </w:rPr>
        <w:instrText xml:space="preserve"> TOC \n \h \z \t "Proposal" \c </w:instrText>
      </w:r>
      <w:r w:rsidRPr="001F5D10">
        <w:rPr>
          <w:rStyle w:val="Hyperlink"/>
          <w:b/>
          <w:noProof/>
        </w:rPr>
        <w:fldChar w:fldCharType="separate"/>
      </w:r>
      <w:hyperlink w:anchor="_Toc16777664" w:history="1">
        <w:r w:rsidR="001F5D10" w:rsidRPr="001F5D10">
          <w:rPr>
            <w:rStyle w:val="Hyperlink"/>
            <w:b/>
            <w:noProof/>
          </w:rPr>
          <w:t>Proposal 1</w:t>
        </w:r>
        <w:r w:rsidR="001F5D10" w:rsidRPr="001F5D10">
          <w:rPr>
            <w:rFonts w:asciiTheme="minorHAnsi" w:eastAsiaTheme="minorEastAsia" w:hAnsiTheme="minorHAnsi" w:cstheme="minorBidi"/>
            <w:b/>
            <w:noProof/>
            <w:sz w:val="22"/>
            <w:szCs w:val="22"/>
            <w:lang/>
          </w:rPr>
          <w:tab/>
        </w:r>
        <w:r w:rsidR="001F5D10" w:rsidRPr="001F5D10">
          <w:rPr>
            <w:rStyle w:val="Hyperlink"/>
            <w:b/>
            <w:noProof/>
          </w:rPr>
          <w:t>eNB uses a container (OCTET STRING) for configuring the NR V2X mode 2 sidelink resource pool or type 1 configured grant for NR V2X sidelink communication via dedicated signalling.</w:t>
        </w:r>
      </w:hyperlink>
    </w:p>
    <w:p w14:paraId="3128F172" w14:textId="77777777" w:rsidR="001F5D10" w:rsidRPr="001F5D10" w:rsidRDefault="001F5D10" w:rsidP="001F5D10">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hyperlink w:anchor="_Toc16777665" w:history="1">
        <w:r w:rsidRPr="001F5D10">
          <w:rPr>
            <w:rStyle w:val="Hyperlink"/>
            <w:b/>
            <w:noProof/>
          </w:rPr>
          <w:t>Proposal 2</w:t>
        </w:r>
        <w:r w:rsidRPr="001F5D10">
          <w:rPr>
            <w:rFonts w:asciiTheme="minorHAnsi" w:eastAsiaTheme="minorEastAsia" w:hAnsiTheme="minorHAnsi" w:cstheme="minorBidi"/>
            <w:b/>
            <w:noProof/>
            <w:sz w:val="22"/>
            <w:szCs w:val="22"/>
            <w:lang/>
          </w:rPr>
          <w:tab/>
        </w:r>
        <w:r w:rsidRPr="001F5D10">
          <w:rPr>
            <w:rStyle w:val="Hyperlink"/>
            <w:b/>
            <w:noProof/>
          </w:rPr>
          <w:t>LTE Sidelink UE information and/or LTE UE Assistance information will be transmitted as container (OCTET STRING) using relevant information from LTE RRC.</w:t>
        </w:r>
      </w:hyperlink>
    </w:p>
    <w:p w14:paraId="0AC3827A" w14:textId="75E555DF" w:rsidR="001F5D10" w:rsidRPr="001F5D10" w:rsidRDefault="001F5D10">
      <w:pPr>
        <w:pStyle w:val="TableofFigures"/>
        <w:tabs>
          <w:tab w:val="left" w:pos="1701"/>
          <w:tab w:val="right" w:leader="dot" w:pos="9629"/>
        </w:tabs>
        <w:rPr>
          <w:rFonts w:asciiTheme="minorHAnsi" w:eastAsiaTheme="minorEastAsia" w:hAnsiTheme="minorHAnsi" w:cstheme="minorBidi"/>
          <w:b/>
          <w:noProof/>
          <w:sz w:val="22"/>
          <w:szCs w:val="22"/>
          <w:lang/>
        </w:rPr>
      </w:pPr>
      <w:hyperlink w:anchor="_Toc16777666" w:history="1">
        <w:r w:rsidRPr="001F5D10">
          <w:rPr>
            <w:rStyle w:val="Hyperlink"/>
            <w:b/>
            <w:noProof/>
            <w:lang w:val="en-US"/>
          </w:rPr>
          <w:t>Proposal 3</w:t>
        </w:r>
        <w:r>
          <w:rPr>
            <w:rFonts w:asciiTheme="minorHAnsi" w:eastAsiaTheme="minorEastAsia" w:hAnsiTheme="minorHAnsi" w:cstheme="minorBidi"/>
            <w:b/>
            <w:noProof/>
            <w:sz w:val="22"/>
            <w:szCs w:val="22"/>
            <w:lang w:val="en-US"/>
          </w:rPr>
          <w:t xml:space="preserve">        </w:t>
        </w:r>
        <w:r w:rsidRPr="001F5D10">
          <w:rPr>
            <w:rStyle w:val="Hyperlink"/>
            <w:b/>
            <w:noProof/>
            <w:lang w:val="en-US"/>
          </w:rPr>
          <w:t>RAN2 does not introduce SR/BSR for inter-RAT scheduling.</w:t>
        </w:r>
      </w:hyperlink>
    </w:p>
    <w:p w14:paraId="0971308E" w14:textId="77777777" w:rsidR="001F5D10" w:rsidRPr="001F5D10" w:rsidRDefault="001F5D10" w:rsidP="001F5D10">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hyperlink w:anchor="_Toc16777667" w:history="1">
        <w:r w:rsidRPr="001F5D10">
          <w:rPr>
            <w:rStyle w:val="Hyperlink"/>
            <w:b/>
            <w:noProof/>
            <w:lang w:val="en-US"/>
          </w:rPr>
          <w:t>Proposal 4</w:t>
        </w:r>
        <w:r w:rsidRPr="001F5D10">
          <w:rPr>
            <w:rFonts w:asciiTheme="minorHAnsi" w:eastAsiaTheme="minorEastAsia" w:hAnsiTheme="minorHAnsi" w:cstheme="minorBidi"/>
            <w:b/>
            <w:noProof/>
            <w:sz w:val="22"/>
            <w:szCs w:val="22"/>
            <w:lang/>
          </w:rPr>
          <w:tab/>
        </w:r>
        <w:r w:rsidRPr="001F5D10">
          <w:rPr>
            <w:rStyle w:val="Hyperlink"/>
            <w:b/>
            <w:noProof/>
            <w:lang w:val="en-US"/>
          </w:rPr>
          <w:t>NR SL UE under inter-RAT scheduling uses configured grant for both initial transmission and re-transmission.</w:t>
        </w:r>
      </w:hyperlink>
    </w:p>
    <w:p w14:paraId="56606DD5" w14:textId="77777777" w:rsidR="001F5D10" w:rsidRPr="001F5D10" w:rsidRDefault="001F5D10" w:rsidP="001F5D10">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hyperlink w:anchor="_Toc16777668" w:history="1">
        <w:r w:rsidRPr="001F5D10">
          <w:rPr>
            <w:rStyle w:val="Hyperlink"/>
            <w:b/>
            <w:noProof/>
          </w:rPr>
          <w:t>Proposal 5</w:t>
        </w:r>
        <w:r w:rsidRPr="001F5D10">
          <w:rPr>
            <w:rFonts w:asciiTheme="minorHAnsi" w:eastAsiaTheme="minorEastAsia" w:hAnsiTheme="minorHAnsi" w:cstheme="minorBidi"/>
            <w:b/>
            <w:noProof/>
            <w:sz w:val="22"/>
            <w:szCs w:val="22"/>
            <w:lang/>
          </w:rPr>
          <w:tab/>
        </w:r>
        <w:r w:rsidRPr="001F5D10">
          <w:rPr>
            <w:rStyle w:val="Hyperlink"/>
            <w:b/>
            <w:noProof/>
          </w:rPr>
          <w:t>For inter-RAT scheduling, explicit indicator is needed in UAI to identify activated traffic.</w:t>
        </w:r>
      </w:hyperlink>
    </w:p>
    <w:p w14:paraId="79512C45" w14:textId="58FBA4EE" w:rsidR="002D37C0" w:rsidRPr="007A6B98" w:rsidRDefault="002D37C0" w:rsidP="00201BEF">
      <w:pPr>
        <w:rPr>
          <w:rFonts w:cs="Arial"/>
        </w:rPr>
      </w:pPr>
      <w:r w:rsidRPr="001F5D10">
        <w:rPr>
          <w:rStyle w:val="Hyperlink"/>
          <w:b/>
          <w:noProof/>
        </w:rPr>
        <w:fldChar w:fldCharType="end"/>
      </w:r>
    </w:p>
    <w:p w14:paraId="518E062C" w14:textId="09FC2871" w:rsidR="00365053" w:rsidRPr="00561B95" w:rsidRDefault="00201BEF" w:rsidP="00561B95">
      <w:pPr>
        <w:pStyle w:val="Heading1"/>
      </w:pPr>
      <w:r w:rsidRPr="007B3713">
        <w:t>References</w:t>
      </w:r>
    </w:p>
    <w:sectPr w:rsidR="00365053" w:rsidRPr="00561B9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97A63" w14:textId="77777777" w:rsidR="00F60EF4" w:rsidRDefault="00F60EF4">
      <w:pPr>
        <w:spacing w:after="0"/>
      </w:pPr>
      <w:r>
        <w:separator/>
      </w:r>
    </w:p>
  </w:endnote>
  <w:endnote w:type="continuationSeparator" w:id="0">
    <w:p w14:paraId="57472436" w14:textId="77777777" w:rsidR="00F60EF4" w:rsidRDefault="00F60EF4">
      <w:pPr>
        <w:spacing w:after="0"/>
      </w:pPr>
      <w:r>
        <w:continuationSeparator/>
      </w:r>
    </w:p>
  </w:endnote>
  <w:endnote w:type="continuationNotice" w:id="1">
    <w:p w14:paraId="7864AEDA" w14:textId="77777777" w:rsidR="00F60EF4" w:rsidRDefault="00F60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A26A46" w:rsidRDefault="00EC57CC" w:rsidP="00A26A4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ACE7" w14:textId="77777777" w:rsidR="00F60EF4" w:rsidRDefault="00F60EF4">
      <w:pPr>
        <w:spacing w:after="0"/>
      </w:pPr>
      <w:r>
        <w:separator/>
      </w:r>
    </w:p>
  </w:footnote>
  <w:footnote w:type="continuationSeparator" w:id="0">
    <w:p w14:paraId="5DF9610F" w14:textId="77777777" w:rsidR="00F60EF4" w:rsidRDefault="00F60EF4">
      <w:pPr>
        <w:spacing w:after="0"/>
      </w:pPr>
      <w:r>
        <w:continuationSeparator/>
      </w:r>
    </w:p>
  </w:footnote>
  <w:footnote w:type="continuationNotice" w:id="1">
    <w:p w14:paraId="7534FE34" w14:textId="77777777" w:rsidR="00F60EF4" w:rsidRDefault="00F60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A26A46" w:rsidRDefault="00EC5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81593A"/>
    <w:multiLevelType w:val="hybridMultilevel"/>
    <w:tmpl w:val="9C28206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0E7EA4"/>
    <w:multiLevelType w:val="hybridMultilevel"/>
    <w:tmpl w:val="7A207FC0"/>
    <w:lvl w:ilvl="0" w:tplc="3C20127E">
      <w:start w:val="1"/>
      <w:numFmt w:val="bullet"/>
      <w:lvlText w:val="—"/>
      <w:lvlJc w:val="left"/>
      <w:pPr>
        <w:tabs>
          <w:tab w:val="num" w:pos="720"/>
        </w:tabs>
        <w:ind w:left="720" w:hanging="360"/>
      </w:pPr>
      <w:rPr>
        <w:rFonts w:ascii="Ericsson Hilda Light" w:hAnsi="Ericsson Hilda Light" w:hint="default"/>
      </w:rPr>
    </w:lvl>
    <w:lvl w:ilvl="1" w:tplc="7ED88832">
      <w:start w:val="142"/>
      <w:numFmt w:val="bullet"/>
      <w:lvlText w:val="—"/>
      <w:lvlJc w:val="left"/>
      <w:pPr>
        <w:tabs>
          <w:tab w:val="num" w:pos="1440"/>
        </w:tabs>
        <w:ind w:left="1440" w:hanging="360"/>
      </w:pPr>
      <w:rPr>
        <w:rFonts w:ascii="Ericsson Hilda Light" w:hAnsi="Ericsson Hilda Light" w:hint="default"/>
        <w:lang w:val="en-GB"/>
      </w:rPr>
    </w:lvl>
    <w:lvl w:ilvl="2" w:tplc="24F6328C" w:tentative="1">
      <w:start w:val="1"/>
      <w:numFmt w:val="bullet"/>
      <w:lvlText w:val="—"/>
      <w:lvlJc w:val="left"/>
      <w:pPr>
        <w:tabs>
          <w:tab w:val="num" w:pos="2160"/>
        </w:tabs>
        <w:ind w:left="2160" w:hanging="360"/>
      </w:pPr>
      <w:rPr>
        <w:rFonts w:ascii="Ericsson Hilda Light" w:hAnsi="Ericsson Hilda Light" w:hint="default"/>
      </w:rPr>
    </w:lvl>
    <w:lvl w:ilvl="3" w:tplc="86029EC4" w:tentative="1">
      <w:start w:val="1"/>
      <w:numFmt w:val="bullet"/>
      <w:lvlText w:val="—"/>
      <w:lvlJc w:val="left"/>
      <w:pPr>
        <w:tabs>
          <w:tab w:val="num" w:pos="2880"/>
        </w:tabs>
        <w:ind w:left="2880" w:hanging="360"/>
      </w:pPr>
      <w:rPr>
        <w:rFonts w:ascii="Ericsson Hilda Light" w:hAnsi="Ericsson Hilda Light" w:hint="default"/>
      </w:rPr>
    </w:lvl>
    <w:lvl w:ilvl="4" w:tplc="372E671C" w:tentative="1">
      <w:start w:val="1"/>
      <w:numFmt w:val="bullet"/>
      <w:lvlText w:val="—"/>
      <w:lvlJc w:val="left"/>
      <w:pPr>
        <w:tabs>
          <w:tab w:val="num" w:pos="3600"/>
        </w:tabs>
        <w:ind w:left="3600" w:hanging="360"/>
      </w:pPr>
      <w:rPr>
        <w:rFonts w:ascii="Ericsson Hilda Light" w:hAnsi="Ericsson Hilda Light" w:hint="default"/>
      </w:rPr>
    </w:lvl>
    <w:lvl w:ilvl="5" w:tplc="3D368B9E" w:tentative="1">
      <w:start w:val="1"/>
      <w:numFmt w:val="bullet"/>
      <w:lvlText w:val="—"/>
      <w:lvlJc w:val="left"/>
      <w:pPr>
        <w:tabs>
          <w:tab w:val="num" w:pos="4320"/>
        </w:tabs>
        <w:ind w:left="4320" w:hanging="360"/>
      </w:pPr>
      <w:rPr>
        <w:rFonts w:ascii="Ericsson Hilda Light" w:hAnsi="Ericsson Hilda Light" w:hint="default"/>
      </w:rPr>
    </w:lvl>
    <w:lvl w:ilvl="6" w:tplc="B0D69C94" w:tentative="1">
      <w:start w:val="1"/>
      <w:numFmt w:val="bullet"/>
      <w:lvlText w:val="—"/>
      <w:lvlJc w:val="left"/>
      <w:pPr>
        <w:tabs>
          <w:tab w:val="num" w:pos="5040"/>
        </w:tabs>
        <w:ind w:left="5040" w:hanging="360"/>
      </w:pPr>
      <w:rPr>
        <w:rFonts w:ascii="Ericsson Hilda Light" w:hAnsi="Ericsson Hilda Light" w:hint="default"/>
      </w:rPr>
    </w:lvl>
    <w:lvl w:ilvl="7" w:tplc="56300910" w:tentative="1">
      <w:start w:val="1"/>
      <w:numFmt w:val="bullet"/>
      <w:lvlText w:val="—"/>
      <w:lvlJc w:val="left"/>
      <w:pPr>
        <w:tabs>
          <w:tab w:val="num" w:pos="5760"/>
        </w:tabs>
        <w:ind w:left="5760" w:hanging="360"/>
      </w:pPr>
      <w:rPr>
        <w:rFonts w:ascii="Ericsson Hilda Light" w:hAnsi="Ericsson Hilda Light" w:hint="default"/>
      </w:rPr>
    </w:lvl>
    <w:lvl w:ilvl="8" w:tplc="0C461D94"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611F2D48"/>
    <w:multiLevelType w:val="hybridMultilevel"/>
    <w:tmpl w:val="9EAA4F00"/>
    <w:lvl w:ilvl="0" w:tplc="278A67BA">
      <w:start w:val="1"/>
      <w:numFmt w:val="bullet"/>
      <w:lvlText w:val="—"/>
      <w:lvlJc w:val="left"/>
      <w:pPr>
        <w:tabs>
          <w:tab w:val="num" w:pos="360"/>
        </w:tabs>
        <w:ind w:left="360" w:hanging="360"/>
      </w:pPr>
      <w:rPr>
        <w:rFonts w:ascii="Ericsson Hilda Light" w:hAnsi="Ericsson Hilda Light" w:hint="default"/>
      </w:rPr>
    </w:lvl>
    <w:lvl w:ilvl="1" w:tplc="A48ACB3C">
      <w:start w:val="142"/>
      <w:numFmt w:val="bullet"/>
      <w:lvlText w:val="—"/>
      <w:lvlJc w:val="left"/>
      <w:pPr>
        <w:tabs>
          <w:tab w:val="num" w:pos="1080"/>
        </w:tabs>
        <w:ind w:left="1080" w:hanging="360"/>
      </w:pPr>
      <w:rPr>
        <w:rFonts w:ascii="Ericsson Hilda Light" w:hAnsi="Ericsson Hilda Light" w:hint="default"/>
      </w:rPr>
    </w:lvl>
    <w:lvl w:ilvl="2" w:tplc="623AA83C" w:tentative="1">
      <w:start w:val="1"/>
      <w:numFmt w:val="bullet"/>
      <w:lvlText w:val="—"/>
      <w:lvlJc w:val="left"/>
      <w:pPr>
        <w:tabs>
          <w:tab w:val="num" w:pos="1800"/>
        </w:tabs>
        <w:ind w:left="1800" w:hanging="360"/>
      </w:pPr>
      <w:rPr>
        <w:rFonts w:ascii="Ericsson Hilda Light" w:hAnsi="Ericsson Hilda Light" w:hint="default"/>
      </w:rPr>
    </w:lvl>
    <w:lvl w:ilvl="3" w:tplc="79542B6E" w:tentative="1">
      <w:start w:val="1"/>
      <w:numFmt w:val="bullet"/>
      <w:lvlText w:val="—"/>
      <w:lvlJc w:val="left"/>
      <w:pPr>
        <w:tabs>
          <w:tab w:val="num" w:pos="2520"/>
        </w:tabs>
        <w:ind w:left="2520" w:hanging="360"/>
      </w:pPr>
      <w:rPr>
        <w:rFonts w:ascii="Ericsson Hilda Light" w:hAnsi="Ericsson Hilda Light" w:hint="default"/>
      </w:rPr>
    </w:lvl>
    <w:lvl w:ilvl="4" w:tplc="9C58582C" w:tentative="1">
      <w:start w:val="1"/>
      <w:numFmt w:val="bullet"/>
      <w:lvlText w:val="—"/>
      <w:lvlJc w:val="left"/>
      <w:pPr>
        <w:tabs>
          <w:tab w:val="num" w:pos="3240"/>
        </w:tabs>
        <w:ind w:left="3240" w:hanging="360"/>
      </w:pPr>
      <w:rPr>
        <w:rFonts w:ascii="Ericsson Hilda Light" w:hAnsi="Ericsson Hilda Light" w:hint="default"/>
      </w:rPr>
    </w:lvl>
    <w:lvl w:ilvl="5" w:tplc="E08CF3A8" w:tentative="1">
      <w:start w:val="1"/>
      <w:numFmt w:val="bullet"/>
      <w:lvlText w:val="—"/>
      <w:lvlJc w:val="left"/>
      <w:pPr>
        <w:tabs>
          <w:tab w:val="num" w:pos="3960"/>
        </w:tabs>
        <w:ind w:left="3960" w:hanging="360"/>
      </w:pPr>
      <w:rPr>
        <w:rFonts w:ascii="Ericsson Hilda Light" w:hAnsi="Ericsson Hilda Light" w:hint="default"/>
      </w:rPr>
    </w:lvl>
    <w:lvl w:ilvl="6" w:tplc="05EC8560" w:tentative="1">
      <w:start w:val="1"/>
      <w:numFmt w:val="bullet"/>
      <w:lvlText w:val="—"/>
      <w:lvlJc w:val="left"/>
      <w:pPr>
        <w:tabs>
          <w:tab w:val="num" w:pos="4680"/>
        </w:tabs>
        <w:ind w:left="4680" w:hanging="360"/>
      </w:pPr>
      <w:rPr>
        <w:rFonts w:ascii="Ericsson Hilda Light" w:hAnsi="Ericsson Hilda Light" w:hint="default"/>
      </w:rPr>
    </w:lvl>
    <w:lvl w:ilvl="7" w:tplc="1CC643B4" w:tentative="1">
      <w:start w:val="1"/>
      <w:numFmt w:val="bullet"/>
      <w:lvlText w:val="—"/>
      <w:lvlJc w:val="left"/>
      <w:pPr>
        <w:tabs>
          <w:tab w:val="num" w:pos="5400"/>
        </w:tabs>
        <w:ind w:left="5400" w:hanging="360"/>
      </w:pPr>
      <w:rPr>
        <w:rFonts w:ascii="Ericsson Hilda Light" w:hAnsi="Ericsson Hilda Light" w:hint="default"/>
      </w:rPr>
    </w:lvl>
    <w:lvl w:ilvl="8" w:tplc="BC18766E" w:tentative="1">
      <w:start w:val="1"/>
      <w:numFmt w:val="bullet"/>
      <w:lvlText w:val="—"/>
      <w:lvlJc w:val="left"/>
      <w:pPr>
        <w:tabs>
          <w:tab w:val="num" w:pos="6120"/>
        </w:tabs>
        <w:ind w:left="6120" w:hanging="360"/>
      </w:pPr>
      <w:rPr>
        <w:rFonts w:ascii="Ericsson Hilda Light" w:hAnsi="Ericsson Hilda Light" w:hint="default"/>
      </w:rPr>
    </w:lvl>
  </w:abstractNum>
  <w:abstractNum w:abstractNumId="10"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F9555D5"/>
    <w:multiLevelType w:val="hybridMultilevel"/>
    <w:tmpl w:val="139A5B88"/>
    <w:lvl w:ilvl="0" w:tplc="FCC014A4">
      <w:start w:val="1"/>
      <w:numFmt w:val="bullet"/>
      <w:lvlText w:val="—"/>
      <w:lvlJc w:val="left"/>
      <w:pPr>
        <w:tabs>
          <w:tab w:val="num" w:pos="360"/>
        </w:tabs>
        <w:ind w:left="360" w:hanging="360"/>
      </w:pPr>
      <w:rPr>
        <w:rFonts w:ascii="Ericsson Hilda Light" w:hAnsi="Ericsson Hilda Light" w:hint="default"/>
      </w:rPr>
    </w:lvl>
    <w:lvl w:ilvl="1" w:tplc="2EEEC2EC">
      <w:start w:val="142"/>
      <w:numFmt w:val="bullet"/>
      <w:lvlText w:val="—"/>
      <w:lvlJc w:val="left"/>
      <w:pPr>
        <w:tabs>
          <w:tab w:val="num" w:pos="1080"/>
        </w:tabs>
        <w:ind w:left="1080" w:hanging="360"/>
      </w:pPr>
      <w:rPr>
        <w:rFonts w:ascii="Ericsson Hilda Light" w:hAnsi="Ericsson Hilda Light" w:hint="default"/>
      </w:rPr>
    </w:lvl>
    <w:lvl w:ilvl="2" w:tplc="49966AB4" w:tentative="1">
      <w:start w:val="1"/>
      <w:numFmt w:val="bullet"/>
      <w:lvlText w:val="—"/>
      <w:lvlJc w:val="left"/>
      <w:pPr>
        <w:tabs>
          <w:tab w:val="num" w:pos="1800"/>
        </w:tabs>
        <w:ind w:left="1800" w:hanging="360"/>
      </w:pPr>
      <w:rPr>
        <w:rFonts w:ascii="Ericsson Hilda Light" w:hAnsi="Ericsson Hilda Light" w:hint="default"/>
      </w:rPr>
    </w:lvl>
    <w:lvl w:ilvl="3" w:tplc="EB7A4650" w:tentative="1">
      <w:start w:val="1"/>
      <w:numFmt w:val="bullet"/>
      <w:lvlText w:val="—"/>
      <w:lvlJc w:val="left"/>
      <w:pPr>
        <w:tabs>
          <w:tab w:val="num" w:pos="2520"/>
        </w:tabs>
        <w:ind w:left="2520" w:hanging="360"/>
      </w:pPr>
      <w:rPr>
        <w:rFonts w:ascii="Ericsson Hilda Light" w:hAnsi="Ericsson Hilda Light" w:hint="default"/>
      </w:rPr>
    </w:lvl>
    <w:lvl w:ilvl="4" w:tplc="C114904C" w:tentative="1">
      <w:start w:val="1"/>
      <w:numFmt w:val="bullet"/>
      <w:lvlText w:val="—"/>
      <w:lvlJc w:val="left"/>
      <w:pPr>
        <w:tabs>
          <w:tab w:val="num" w:pos="3240"/>
        </w:tabs>
        <w:ind w:left="3240" w:hanging="360"/>
      </w:pPr>
      <w:rPr>
        <w:rFonts w:ascii="Ericsson Hilda Light" w:hAnsi="Ericsson Hilda Light" w:hint="default"/>
      </w:rPr>
    </w:lvl>
    <w:lvl w:ilvl="5" w:tplc="5EFE9D10" w:tentative="1">
      <w:start w:val="1"/>
      <w:numFmt w:val="bullet"/>
      <w:lvlText w:val="—"/>
      <w:lvlJc w:val="left"/>
      <w:pPr>
        <w:tabs>
          <w:tab w:val="num" w:pos="3960"/>
        </w:tabs>
        <w:ind w:left="3960" w:hanging="360"/>
      </w:pPr>
      <w:rPr>
        <w:rFonts w:ascii="Ericsson Hilda Light" w:hAnsi="Ericsson Hilda Light" w:hint="default"/>
      </w:rPr>
    </w:lvl>
    <w:lvl w:ilvl="6" w:tplc="D4EC0B4C" w:tentative="1">
      <w:start w:val="1"/>
      <w:numFmt w:val="bullet"/>
      <w:lvlText w:val="—"/>
      <w:lvlJc w:val="left"/>
      <w:pPr>
        <w:tabs>
          <w:tab w:val="num" w:pos="4680"/>
        </w:tabs>
        <w:ind w:left="4680" w:hanging="360"/>
      </w:pPr>
      <w:rPr>
        <w:rFonts w:ascii="Ericsson Hilda Light" w:hAnsi="Ericsson Hilda Light" w:hint="default"/>
      </w:rPr>
    </w:lvl>
    <w:lvl w:ilvl="7" w:tplc="ADC010AC" w:tentative="1">
      <w:start w:val="1"/>
      <w:numFmt w:val="bullet"/>
      <w:lvlText w:val="—"/>
      <w:lvlJc w:val="left"/>
      <w:pPr>
        <w:tabs>
          <w:tab w:val="num" w:pos="5400"/>
        </w:tabs>
        <w:ind w:left="5400" w:hanging="360"/>
      </w:pPr>
      <w:rPr>
        <w:rFonts w:ascii="Ericsson Hilda Light" w:hAnsi="Ericsson Hilda Light" w:hint="default"/>
      </w:rPr>
    </w:lvl>
    <w:lvl w:ilvl="8" w:tplc="EC2AC9D8" w:tentative="1">
      <w:start w:val="1"/>
      <w:numFmt w:val="bullet"/>
      <w:lvlText w:val="—"/>
      <w:lvlJc w:val="left"/>
      <w:pPr>
        <w:tabs>
          <w:tab w:val="num" w:pos="6120"/>
        </w:tabs>
        <w:ind w:left="6120" w:hanging="360"/>
      </w:pPr>
      <w:rPr>
        <w:rFonts w:ascii="Ericsson Hilda Light" w:hAnsi="Ericsson Hilda Light" w:hint="default"/>
      </w:rPr>
    </w:lvl>
  </w:abstractNum>
  <w:num w:numId="1">
    <w:abstractNumId w:val="0"/>
  </w:num>
  <w:num w:numId="2">
    <w:abstractNumId w:val="5"/>
  </w:num>
  <w:num w:numId="3">
    <w:abstractNumId w:val="3"/>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num>
  <w:num w:numId="8">
    <w:abstractNumId w:val="10"/>
  </w:num>
  <w:num w:numId="9">
    <w:abstractNumId w:val="9"/>
  </w:num>
  <w:num w:numId="10">
    <w:abstractNumId w:val="12"/>
  </w:num>
  <w:num w:numId="11">
    <w:abstractNumId w:val="8"/>
  </w:num>
  <w:num w:numId="12">
    <w:abstractNumId w:val="4"/>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2FEF"/>
    <w:rsid w:val="00003A8F"/>
    <w:rsid w:val="000060CC"/>
    <w:rsid w:val="000065E5"/>
    <w:rsid w:val="000069C6"/>
    <w:rsid w:val="00013837"/>
    <w:rsid w:val="00015A43"/>
    <w:rsid w:val="000223DA"/>
    <w:rsid w:val="00022F5A"/>
    <w:rsid w:val="00045FAE"/>
    <w:rsid w:val="000473BA"/>
    <w:rsid w:val="00047505"/>
    <w:rsid w:val="0005398C"/>
    <w:rsid w:val="0005457F"/>
    <w:rsid w:val="000640F7"/>
    <w:rsid w:val="00064D42"/>
    <w:rsid w:val="00081EE4"/>
    <w:rsid w:val="00087262"/>
    <w:rsid w:val="00090602"/>
    <w:rsid w:val="00093A04"/>
    <w:rsid w:val="00094C22"/>
    <w:rsid w:val="000A013B"/>
    <w:rsid w:val="000A4671"/>
    <w:rsid w:val="000A562F"/>
    <w:rsid w:val="000A608A"/>
    <w:rsid w:val="000B03E6"/>
    <w:rsid w:val="000B0674"/>
    <w:rsid w:val="000B3F18"/>
    <w:rsid w:val="000B46B2"/>
    <w:rsid w:val="000C15D5"/>
    <w:rsid w:val="000C2A4B"/>
    <w:rsid w:val="000C56D1"/>
    <w:rsid w:val="000C6FB9"/>
    <w:rsid w:val="000D4DE9"/>
    <w:rsid w:val="000E4236"/>
    <w:rsid w:val="000E5EFA"/>
    <w:rsid w:val="000F01EA"/>
    <w:rsid w:val="000F3FD3"/>
    <w:rsid w:val="000F6BF9"/>
    <w:rsid w:val="001026E0"/>
    <w:rsid w:val="0010337D"/>
    <w:rsid w:val="00105F53"/>
    <w:rsid w:val="00112161"/>
    <w:rsid w:val="00113404"/>
    <w:rsid w:val="0011718B"/>
    <w:rsid w:val="00124686"/>
    <w:rsid w:val="00131F69"/>
    <w:rsid w:val="00140CF4"/>
    <w:rsid w:val="001437DB"/>
    <w:rsid w:val="00143E55"/>
    <w:rsid w:val="00146D27"/>
    <w:rsid w:val="00153C43"/>
    <w:rsid w:val="0016584E"/>
    <w:rsid w:val="00166177"/>
    <w:rsid w:val="00167FC6"/>
    <w:rsid w:val="00172A65"/>
    <w:rsid w:val="00181DD3"/>
    <w:rsid w:val="00186432"/>
    <w:rsid w:val="001908A6"/>
    <w:rsid w:val="00190E15"/>
    <w:rsid w:val="00192D5E"/>
    <w:rsid w:val="00193590"/>
    <w:rsid w:val="001957A1"/>
    <w:rsid w:val="001964AB"/>
    <w:rsid w:val="00196E03"/>
    <w:rsid w:val="00197051"/>
    <w:rsid w:val="001A434E"/>
    <w:rsid w:val="001A733D"/>
    <w:rsid w:val="001B48C6"/>
    <w:rsid w:val="001B4E6C"/>
    <w:rsid w:val="001B5E2F"/>
    <w:rsid w:val="001B60DA"/>
    <w:rsid w:val="001C11C8"/>
    <w:rsid w:val="001C61C3"/>
    <w:rsid w:val="001D255E"/>
    <w:rsid w:val="001D3781"/>
    <w:rsid w:val="001D577A"/>
    <w:rsid w:val="001D7289"/>
    <w:rsid w:val="001E1AA1"/>
    <w:rsid w:val="001E3125"/>
    <w:rsid w:val="001F12ED"/>
    <w:rsid w:val="001F22F1"/>
    <w:rsid w:val="001F3977"/>
    <w:rsid w:val="001F4312"/>
    <w:rsid w:val="001F5D10"/>
    <w:rsid w:val="0020167C"/>
    <w:rsid w:val="00201BEF"/>
    <w:rsid w:val="002051C4"/>
    <w:rsid w:val="00207089"/>
    <w:rsid w:val="0021288B"/>
    <w:rsid w:val="002147D4"/>
    <w:rsid w:val="0021493B"/>
    <w:rsid w:val="00214A83"/>
    <w:rsid w:val="00225060"/>
    <w:rsid w:val="00226217"/>
    <w:rsid w:val="00230B42"/>
    <w:rsid w:val="00237132"/>
    <w:rsid w:val="0023734B"/>
    <w:rsid w:val="0024218E"/>
    <w:rsid w:val="0024675E"/>
    <w:rsid w:val="002505FF"/>
    <w:rsid w:val="00252655"/>
    <w:rsid w:val="00254548"/>
    <w:rsid w:val="002558B4"/>
    <w:rsid w:val="00262A1E"/>
    <w:rsid w:val="00265C3E"/>
    <w:rsid w:val="0027018A"/>
    <w:rsid w:val="002709F4"/>
    <w:rsid w:val="002740FC"/>
    <w:rsid w:val="002904E5"/>
    <w:rsid w:val="00290A75"/>
    <w:rsid w:val="00291908"/>
    <w:rsid w:val="00292190"/>
    <w:rsid w:val="002941DE"/>
    <w:rsid w:val="00296F17"/>
    <w:rsid w:val="002A1CDF"/>
    <w:rsid w:val="002A4476"/>
    <w:rsid w:val="002A4756"/>
    <w:rsid w:val="002B2DEA"/>
    <w:rsid w:val="002C031F"/>
    <w:rsid w:val="002C6B8A"/>
    <w:rsid w:val="002D31DA"/>
    <w:rsid w:val="002D37C0"/>
    <w:rsid w:val="002D682E"/>
    <w:rsid w:val="002D6AE9"/>
    <w:rsid w:val="002D7F5F"/>
    <w:rsid w:val="002E07CF"/>
    <w:rsid w:val="002E099B"/>
    <w:rsid w:val="002E1040"/>
    <w:rsid w:val="002E1A83"/>
    <w:rsid w:val="002E223F"/>
    <w:rsid w:val="002E53EC"/>
    <w:rsid w:val="002E6BD2"/>
    <w:rsid w:val="002E7172"/>
    <w:rsid w:val="002F142D"/>
    <w:rsid w:val="002F306D"/>
    <w:rsid w:val="002F6AA5"/>
    <w:rsid w:val="00300DD2"/>
    <w:rsid w:val="00302C75"/>
    <w:rsid w:val="0030455F"/>
    <w:rsid w:val="0030577C"/>
    <w:rsid w:val="00311AF6"/>
    <w:rsid w:val="00311F1E"/>
    <w:rsid w:val="003139BD"/>
    <w:rsid w:val="003166BB"/>
    <w:rsid w:val="00317CE6"/>
    <w:rsid w:val="00320D09"/>
    <w:rsid w:val="00321D8A"/>
    <w:rsid w:val="00325E09"/>
    <w:rsid w:val="00326E0E"/>
    <w:rsid w:val="00327101"/>
    <w:rsid w:val="00330428"/>
    <w:rsid w:val="00335295"/>
    <w:rsid w:val="003352F7"/>
    <w:rsid w:val="00340126"/>
    <w:rsid w:val="00340808"/>
    <w:rsid w:val="00340E3C"/>
    <w:rsid w:val="00341562"/>
    <w:rsid w:val="00341A0E"/>
    <w:rsid w:val="0034549C"/>
    <w:rsid w:val="00351ED6"/>
    <w:rsid w:val="0036046D"/>
    <w:rsid w:val="003612B0"/>
    <w:rsid w:val="00361B2C"/>
    <w:rsid w:val="00362B83"/>
    <w:rsid w:val="00365053"/>
    <w:rsid w:val="003667E8"/>
    <w:rsid w:val="00366F1E"/>
    <w:rsid w:val="0037352B"/>
    <w:rsid w:val="00373AB2"/>
    <w:rsid w:val="00373D32"/>
    <w:rsid w:val="00377B7A"/>
    <w:rsid w:val="0038060D"/>
    <w:rsid w:val="0038632E"/>
    <w:rsid w:val="00392576"/>
    <w:rsid w:val="00393C65"/>
    <w:rsid w:val="00393D9C"/>
    <w:rsid w:val="003A466D"/>
    <w:rsid w:val="003A789F"/>
    <w:rsid w:val="003B050D"/>
    <w:rsid w:val="003B6B34"/>
    <w:rsid w:val="003B7930"/>
    <w:rsid w:val="003B7A42"/>
    <w:rsid w:val="003C22DD"/>
    <w:rsid w:val="003C2573"/>
    <w:rsid w:val="003C3B3F"/>
    <w:rsid w:val="003C51F4"/>
    <w:rsid w:val="003C5DC7"/>
    <w:rsid w:val="003D2B44"/>
    <w:rsid w:val="003D3DC3"/>
    <w:rsid w:val="003D3FA3"/>
    <w:rsid w:val="003D5EBD"/>
    <w:rsid w:val="003D6839"/>
    <w:rsid w:val="003E005C"/>
    <w:rsid w:val="003F172E"/>
    <w:rsid w:val="003F35B7"/>
    <w:rsid w:val="003F503D"/>
    <w:rsid w:val="003F5398"/>
    <w:rsid w:val="003F57AE"/>
    <w:rsid w:val="003F6C4B"/>
    <w:rsid w:val="00400DD0"/>
    <w:rsid w:val="0040430C"/>
    <w:rsid w:val="00407B85"/>
    <w:rsid w:val="004104E1"/>
    <w:rsid w:val="00410EFB"/>
    <w:rsid w:val="00411765"/>
    <w:rsid w:val="0041461D"/>
    <w:rsid w:val="00415B05"/>
    <w:rsid w:val="00420D26"/>
    <w:rsid w:val="004264CA"/>
    <w:rsid w:val="004335CD"/>
    <w:rsid w:val="00433EA7"/>
    <w:rsid w:val="004353DC"/>
    <w:rsid w:val="00442AAF"/>
    <w:rsid w:val="00442B9D"/>
    <w:rsid w:val="00443BAE"/>
    <w:rsid w:val="00445476"/>
    <w:rsid w:val="00447F6B"/>
    <w:rsid w:val="00457B7E"/>
    <w:rsid w:val="004600F5"/>
    <w:rsid w:val="00464390"/>
    <w:rsid w:val="00466954"/>
    <w:rsid w:val="00470F0C"/>
    <w:rsid w:val="004729F9"/>
    <w:rsid w:val="00473B34"/>
    <w:rsid w:val="00475477"/>
    <w:rsid w:val="00475F8A"/>
    <w:rsid w:val="004775A1"/>
    <w:rsid w:val="004812A1"/>
    <w:rsid w:val="00487578"/>
    <w:rsid w:val="00495273"/>
    <w:rsid w:val="004A11E0"/>
    <w:rsid w:val="004A1A9D"/>
    <w:rsid w:val="004B0293"/>
    <w:rsid w:val="004B0832"/>
    <w:rsid w:val="004B215C"/>
    <w:rsid w:val="004C06F5"/>
    <w:rsid w:val="004C1A88"/>
    <w:rsid w:val="004C28D2"/>
    <w:rsid w:val="004C2B77"/>
    <w:rsid w:val="004C30B7"/>
    <w:rsid w:val="004C4D12"/>
    <w:rsid w:val="004D37BB"/>
    <w:rsid w:val="004D5FFD"/>
    <w:rsid w:val="004D7CF7"/>
    <w:rsid w:val="004E13C4"/>
    <w:rsid w:val="004E6926"/>
    <w:rsid w:val="004E751E"/>
    <w:rsid w:val="004F259A"/>
    <w:rsid w:val="004F74AC"/>
    <w:rsid w:val="004F7A72"/>
    <w:rsid w:val="005027A3"/>
    <w:rsid w:val="00503B26"/>
    <w:rsid w:val="005046A2"/>
    <w:rsid w:val="00511261"/>
    <w:rsid w:val="0051321C"/>
    <w:rsid w:val="0051576C"/>
    <w:rsid w:val="005157F9"/>
    <w:rsid w:val="00524C89"/>
    <w:rsid w:val="005268BB"/>
    <w:rsid w:val="00537284"/>
    <w:rsid w:val="00544A17"/>
    <w:rsid w:val="00545D10"/>
    <w:rsid w:val="00551BD7"/>
    <w:rsid w:val="00552D66"/>
    <w:rsid w:val="0055406A"/>
    <w:rsid w:val="00554720"/>
    <w:rsid w:val="00561B95"/>
    <w:rsid w:val="00566DA8"/>
    <w:rsid w:val="0056732E"/>
    <w:rsid w:val="00573549"/>
    <w:rsid w:val="00580137"/>
    <w:rsid w:val="00581EE3"/>
    <w:rsid w:val="00582006"/>
    <w:rsid w:val="00583A9D"/>
    <w:rsid w:val="005861CF"/>
    <w:rsid w:val="00586414"/>
    <w:rsid w:val="00592937"/>
    <w:rsid w:val="00596467"/>
    <w:rsid w:val="005A1ABF"/>
    <w:rsid w:val="005A41B4"/>
    <w:rsid w:val="005B064F"/>
    <w:rsid w:val="005B1C2B"/>
    <w:rsid w:val="005B537E"/>
    <w:rsid w:val="005C52AF"/>
    <w:rsid w:val="005C5D92"/>
    <w:rsid w:val="005D209C"/>
    <w:rsid w:val="005D33C4"/>
    <w:rsid w:val="005D39AC"/>
    <w:rsid w:val="005D3C0B"/>
    <w:rsid w:val="005D41DF"/>
    <w:rsid w:val="005E3D86"/>
    <w:rsid w:val="005E7DF7"/>
    <w:rsid w:val="005F44D3"/>
    <w:rsid w:val="005F6293"/>
    <w:rsid w:val="005F7BA5"/>
    <w:rsid w:val="005F7C81"/>
    <w:rsid w:val="005F7FDC"/>
    <w:rsid w:val="00600F88"/>
    <w:rsid w:val="00605012"/>
    <w:rsid w:val="00606D60"/>
    <w:rsid w:val="00613A3A"/>
    <w:rsid w:val="00615857"/>
    <w:rsid w:val="00622204"/>
    <w:rsid w:val="00622D37"/>
    <w:rsid w:val="00622DF5"/>
    <w:rsid w:val="00627179"/>
    <w:rsid w:val="00630EF0"/>
    <w:rsid w:val="006405D2"/>
    <w:rsid w:val="0064422E"/>
    <w:rsid w:val="00651F8B"/>
    <w:rsid w:val="00652C16"/>
    <w:rsid w:val="00653033"/>
    <w:rsid w:val="00656EF9"/>
    <w:rsid w:val="00657DC1"/>
    <w:rsid w:val="00672479"/>
    <w:rsid w:val="0067301C"/>
    <w:rsid w:val="00676BAA"/>
    <w:rsid w:val="00677C14"/>
    <w:rsid w:val="0068309D"/>
    <w:rsid w:val="00684FD5"/>
    <w:rsid w:val="00687DB5"/>
    <w:rsid w:val="00687F50"/>
    <w:rsid w:val="006945C7"/>
    <w:rsid w:val="00697412"/>
    <w:rsid w:val="0069798E"/>
    <w:rsid w:val="006A0728"/>
    <w:rsid w:val="006A11A5"/>
    <w:rsid w:val="006A30B1"/>
    <w:rsid w:val="006A369D"/>
    <w:rsid w:val="006A415F"/>
    <w:rsid w:val="006A4DB5"/>
    <w:rsid w:val="006A690A"/>
    <w:rsid w:val="006B1C91"/>
    <w:rsid w:val="006B2C74"/>
    <w:rsid w:val="006B3581"/>
    <w:rsid w:val="006D3EA5"/>
    <w:rsid w:val="006E05F8"/>
    <w:rsid w:val="006E066D"/>
    <w:rsid w:val="006E0B4C"/>
    <w:rsid w:val="006E4691"/>
    <w:rsid w:val="006E7FC2"/>
    <w:rsid w:val="006F0D34"/>
    <w:rsid w:val="006F1288"/>
    <w:rsid w:val="006F3D9F"/>
    <w:rsid w:val="006F4146"/>
    <w:rsid w:val="006F6F5D"/>
    <w:rsid w:val="006F7172"/>
    <w:rsid w:val="00714B15"/>
    <w:rsid w:val="007324C3"/>
    <w:rsid w:val="00747B80"/>
    <w:rsid w:val="00752E85"/>
    <w:rsid w:val="00760752"/>
    <w:rsid w:val="0076255F"/>
    <w:rsid w:val="0076395F"/>
    <w:rsid w:val="00763AAE"/>
    <w:rsid w:val="00765F68"/>
    <w:rsid w:val="00770759"/>
    <w:rsid w:val="00772DA4"/>
    <w:rsid w:val="00775C60"/>
    <w:rsid w:val="00775C65"/>
    <w:rsid w:val="00780570"/>
    <w:rsid w:val="00780988"/>
    <w:rsid w:val="00781CE5"/>
    <w:rsid w:val="00783DD0"/>
    <w:rsid w:val="00785380"/>
    <w:rsid w:val="007A03C0"/>
    <w:rsid w:val="007A06E4"/>
    <w:rsid w:val="007A0CE2"/>
    <w:rsid w:val="007A31BB"/>
    <w:rsid w:val="007A49CA"/>
    <w:rsid w:val="007A6B98"/>
    <w:rsid w:val="007B2406"/>
    <w:rsid w:val="007B2593"/>
    <w:rsid w:val="007B3713"/>
    <w:rsid w:val="007B3F2D"/>
    <w:rsid w:val="007B5238"/>
    <w:rsid w:val="007B64A1"/>
    <w:rsid w:val="007C4FC6"/>
    <w:rsid w:val="007C7168"/>
    <w:rsid w:val="007D34EC"/>
    <w:rsid w:val="007D496F"/>
    <w:rsid w:val="007E0DC5"/>
    <w:rsid w:val="007E1470"/>
    <w:rsid w:val="007E37BA"/>
    <w:rsid w:val="007F405B"/>
    <w:rsid w:val="007F473E"/>
    <w:rsid w:val="007F64BA"/>
    <w:rsid w:val="00800BFA"/>
    <w:rsid w:val="008016F4"/>
    <w:rsid w:val="008041CA"/>
    <w:rsid w:val="00812048"/>
    <w:rsid w:val="0081407A"/>
    <w:rsid w:val="00814668"/>
    <w:rsid w:val="00820226"/>
    <w:rsid w:val="00823B77"/>
    <w:rsid w:val="00825FC9"/>
    <w:rsid w:val="00831232"/>
    <w:rsid w:val="008352B3"/>
    <w:rsid w:val="0084386A"/>
    <w:rsid w:val="00845E8B"/>
    <w:rsid w:val="00851252"/>
    <w:rsid w:val="0085320C"/>
    <w:rsid w:val="00853F36"/>
    <w:rsid w:val="00855B88"/>
    <w:rsid w:val="00855EFB"/>
    <w:rsid w:val="00862C33"/>
    <w:rsid w:val="00866E48"/>
    <w:rsid w:val="00867619"/>
    <w:rsid w:val="00871D18"/>
    <w:rsid w:val="00880CFA"/>
    <w:rsid w:val="00885312"/>
    <w:rsid w:val="0088719C"/>
    <w:rsid w:val="008919E8"/>
    <w:rsid w:val="008A15C8"/>
    <w:rsid w:val="008A48B3"/>
    <w:rsid w:val="008B5773"/>
    <w:rsid w:val="008B6CA3"/>
    <w:rsid w:val="008C063C"/>
    <w:rsid w:val="008C07B2"/>
    <w:rsid w:val="008C2357"/>
    <w:rsid w:val="008C257F"/>
    <w:rsid w:val="008D1392"/>
    <w:rsid w:val="008D156A"/>
    <w:rsid w:val="008F0C4B"/>
    <w:rsid w:val="008F1EBB"/>
    <w:rsid w:val="008F2759"/>
    <w:rsid w:val="008F27C6"/>
    <w:rsid w:val="008F77A6"/>
    <w:rsid w:val="00902512"/>
    <w:rsid w:val="0090388F"/>
    <w:rsid w:val="00904F2E"/>
    <w:rsid w:val="009058F4"/>
    <w:rsid w:val="0090774F"/>
    <w:rsid w:val="00917760"/>
    <w:rsid w:val="009210AC"/>
    <w:rsid w:val="00921D91"/>
    <w:rsid w:val="00926FE9"/>
    <w:rsid w:val="009275C3"/>
    <w:rsid w:val="009375AD"/>
    <w:rsid w:val="00940893"/>
    <w:rsid w:val="0094538F"/>
    <w:rsid w:val="00953E30"/>
    <w:rsid w:val="00974506"/>
    <w:rsid w:val="00983A70"/>
    <w:rsid w:val="00987DBB"/>
    <w:rsid w:val="00993DCB"/>
    <w:rsid w:val="009940F1"/>
    <w:rsid w:val="009A19BE"/>
    <w:rsid w:val="009B51C8"/>
    <w:rsid w:val="009B7A24"/>
    <w:rsid w:val="009B7ED5"/>
    <w:rsid w:val="009C06A1"/>
    <w:rsid w:val="009D0FFE"/>
    <w:rsid w:val="009D7002"/>
    <w:rsid w:val="009E15AB"/>
    <w:rsid w:val="009E2CE9"/>
    <w:rsid w:val="009E3E6F"/>
    <w:rsid w:val="009E4C2E"/>
    <w:rsid w:val="00A01251"/>
    <w:rsid w:val="00A0130D"/>
    <w:rsid w:val="00A04450"/>
    <w:rsid w:val="00A12900"/>
    <w:rsid w:val="00A20B11"/>
    <w:rsid w:val="00A21A40"/>
    <w:rsid w:val="00A21A55"/>
    <w:rsid w:val="00A22A33"/>
    <w:rsid w:val="00A25B04"/>
    <w:rsid w:val="00A26A46"/>
    <w:rsid w:val="00A31C11"/>
    <w:rsid w:val="00A36825"/>
    <w:rsid w:val="00A414E0"/>
    <w:rsid w:val="00A51C25"/>
    <w:rsid w:val="00A549A8"/>
    <w:rsid w:val="00A55307"/>
    <w:rsid w:val="00A610C4"/>
    <w:rsid w:val="00A6764D"/>
    <w:rsid w:val="00A67A03"/>
    <w:rsid w:val="00A70559"/>
    <w:rsid w:val="00A71315"/>
    <w:rsid w:val="00A76933"/>
    <w:rsid w:val="00A9104C"/>
    <w:rsid w:val="00A92121"/>
    <w:rsid w:val="00A94997"/>
    <w:rsid w:val="00AA12DB"/>
    <w:rsid w:val="00AA1864"/>
    <w:rsid w:val="00AA34BD"/>
    <w:rsid w:val="00AA5B7C"/>
    <w:rsid w:val="00AB4383"/>
    <w:rsid w:val="00AC2CC9"/>
    <w:rsid w:val="00AC5CBC"/>
    <w:rsid w:val="00AC6069"/>
    <w:rsid w:val="00AC73E6"/>
    <w:rsid w:val="00AD05B8"/>
    <w:rsid w:val="00AD46B7"/>
    <w:rsid w:val="00AD7D33"/>
    <w:rsid w:val="00AF21C0"/>
    <w:rsid w:val="00AF40AC"/>
    <w:rsid w:val="00AF5EDE"/>
    <w:rsid w:val="00B024B0"/>
    <w:rsid w:val="00B02797"/>
    <w:rsid w:val="00B03B68"/>
    <w:rsid w:val="00B06D60"/>
    <w:rsid w:val="00B075D4"/>
    <w:rsid w:val="00B13741"/>
    <w:rsid w:val="00B16E3A"/>
    <w:rsid w:val="00B2263D"/>
    <w:rsid w:val="00B23D50"/>
    <w:rsid w:val="00B254FB"/>
    <w:rsid w:val="00B26443"/>
    <w:rsid w:val="00B308CB"/>
    <w:rsid w:val="00B31856"/>
    <w:rsid w:val="00B324E8"/>
    <w:rsid w:val="00B32F7F"/>
    <w:rsid w:val="00B3504E"/>
    <w:rsid w:val="00B351B3"/>
    <w:rsid w:val="00B44A35"/>
    <w:rsid w:val="00B51159"/>
    <w:rsid w:val="00B53C3C"/>
    <w:rsid w:val="00B64BCB"/>
    <w:rsid w:val="00B65482"/>
    <w:rsid w:val="00B65840"/>
    <w:rsid w:val="00B71F9D"/>
    <w:rsid w:val="00B729AF"/>
    <w:rsid w:val="00B72B45"/>
    <w:rsid w:val="00B83921"/>
    <w:rsid w:val="00B84E63"/>
    <w:rsid w:val="00B87767"/>
    <w:rsid w:val="00B91DC6"/>
    <w:rsid w:val="00B93622"/>
    <w:rsid w:val="00BA08AB"/>
    <w:rsid w:val="00BA1071"/>
    <w:rsid w:val="00BA2338"/>
    <w:rsid w:val="00BA698C"/>
    <w:rsid w:val="00BB1A18"/>
    <w:rsid w:val="00BB26F7"/>
    <w:rsid w:val="00BB55D5"/>
    <w:rsid w:val="00BB7D88"/>
    <w:rsid w:val="00BC272B"/>
    <w:rsid w:val="00BC36AF"/>
    <w:rsid w:val="00BC61F0"/>
    <w:rsid w:val="00BC6250"/>
    <w:rsid w:val="00BD4FE2"/>
    <w:rsid w:val="00BD5FBD"/>
    <w:rsid w:val="00BD793F"/>
    <w:rsid w:val="00BD79F3"/>
    <w:rsid w:val="00BE4695"/>
    <w:rsid w:val="00BE5568"/>
    <w:rsid w:val="00BE565A"/>
    <w:rsid w:val="00BE5DDD"/>
    <w:rsid w:val="00BE64A4"/>
    <w:rsid w:val="00C04327"/>
    <w:rsid w:val="00C10A44"/>
    <w:rsid w:val="00C130BE"/>
    <w:rsid w:val="00C14AEB"/>
    <w:rsid w:val="00C14C6E"/>
    <w:rsid w:val="00C21CA1"/>
    <w:rsid w:val="00C26151"/>
    <w:rsid w:val="00C26933"/>
    <w:rsid w:val="00C274A8"/>
    <w:rsid w:val="00C312F2"/>
    <w:rsid w:val="00C3259E"/>
    <w:rsid w:val="00C325DD"/>
    <w:rsid w:val="00C37E45"/>
    <w:rsid w:val="00C4479E"/>
    <w:rsid w:val="00C47D11"/>
    <w:rsid w:val="00C55173"/>
    <w:rsid w:val="00C56863"/>
    <w:rsid w:val="00C60A93"/>
    <w:rsid w:val="00C61F19"/>
    <w:rsid w:val="00C70B3E"/>
    <w:rsid w:val="00C7241D"/>
    <w:rsid w:val="00C72D77"/>
    <w:rsid w:val="00C847F0"/>
    <w:rsid w:val="00C91C8F"/>
    <w:rsid w:val="00C94CA5"/>
    <w:rsid w:val="00C97A33"/>
    <w:rsid w:val="00CA2B12"/>
    <w:rsid w:val="00CA410F"/>
    <w:rsid w:val="00CA54AD"/>
    <w:rsid w:val="00CB2AAE"/>
    <w:rsid w:val="00CB3BD8"/>
    <w:rsid w:val="00CC1FD7"/>
    <w:rsid w:val="00CD266B"/>
    <w:rsid w:val="00CD3AE9"/>
    <w:rsid w:val="00CD5CA1"/>
    <w:rsid w:val="00CD6957"/>
    <w:rsid w:val="00CD7124"/>
    <w:rsid w:val="00CD7B4F"/>
    <w:rsid w:val="00CF43BC"/>
    <w:rsid w:val="00CF7586"/>
    <w:rsid w:val="00D01FB7"/>
    <w:rsid w:val="00D03BDA"/>
    <w:rsid w:val="00D03BEB"/>
    <w:rsid w:val="00D0593E"/>
    <w:rsid w:val="00D13C3B"/>
    <w:rsid w:val="00D173B0"/>
    <w:rsid w:val="00D17A14"/>
    <w:rsid w:val="00D2033C"/>
    <w:rsid w:val="00D23FE5"/>
    <w:rsid w:val="00D3050B"/>
    <w:rsid w:val="00D30B19"/>
    <w:rsid w:val="00D3375B"/>
    <w:rsid w:val="00D371AC"/>
    <w:rsid w:val="00D40C08"/>
    <w:rsid w:val="00D44469"/>
    <w:rsid w:val="00D44C3D"/>
    <w:rsid w:val="00D45365"/>
    <w:rsid w:val="00D45BC2"/>
    <w:rsid w:val="00D5078D"/>
    <w:rsid w:val="00D56FB0"/>
    <w:rsid w:val="00D62A7E"/>
    <w:rsid w:val="00D6582D"/>
    <w:rsid w:val="00D67E46"/>
    <w:rsid w:val="00D755D0"/>
    <w:rsid w:val="00D75DA0"/>
    <w:rsid w:val="00D82FE7"/>
    <w:rsid w:val="00D83648"/>
    <w:rsid w:val="00D86158"/>
    <w:rsid w:val="00D8615D"/>
    <w:rsid w:val="00D86D7D"/>
    <w:rsid w:val="00D93B81"/>
    <w:rsid w:val="00D944DB"/>
    <w:rsid w:val="00D94CA7"/>
    <w:rsid w:val="00DA014C"/>
    <w:rsid w:val="00DA0E60"/>
    <w:rsid w:val="00DA298E"/>
    <w:rsid w:val="00DA64B9"/>
    <w:rsid w:val="00DB7272"/>
    <w:rsid w:val="00DB746F"/>
    <w:rsid w:val="00DB7AE9"/>
    <w:rsid w:val="00DC1245"/>
    <w:rsid w:val="00DC4C1E"/>
    <w:rsid w:val="00DC7E7E"/>
    <w:rsid w:val="00DD54B8"/>
    <w:rsid w:val="00DD5CFB"/>
    <w:rsid w:val="00DD747C"/>
    <w:rsid w:val="00DE0A84"/>
    <w:rsid w:val="00DE1F57"/>
    <w:rsid w:val="00DF3022"/>
    <w:rsid w:val="00DF4620"/>
    <w:rsid w:val="00DF7CE6"/>
    <w:rsid w:val="00E00EE0"/>
    <w:rsid w:val="00E05E85"/>
    <w:rsid w:val="00E14164"/>
    <w:rsid w:val="00E1552B"/>
    <w:rsid w:val="00E167CD"/>
    <w:rsid w:val="00E1697D"/>
    <w:rsid w:val="00E17DD2"/>
    <w:rsid w:val="00E2358D"/>
    <w:rsid w:val="00E24B52"/>
    <w:rsid w:val="00E354CE"/>
    <w:rsid w:val="00E37B61"/>
    <w:rsid w:val="00E407E9"/>
    <w:rsid w:val="00E451C5"/>
    <w:rsid w:val="00E475BC"/>
    <w:rsid w:val="00E50705"/>
    <w:rsid w:val="00E51A30"/>
    <w:rsid w:val="00E51C32"/>
    <w:rsid w:val="00E55A46"/>
    <w:rsid w:val="00E55D70"/>
    <w:rsid w:val="00E67B29"/>
    <w:rsid w:val="00E70D08"/>
    <w:rsid w:val="00E9347F"/>
    <w:rsid w:val="00E942DB"/>
    <w:rsid w:val="00E954C4"/>
    <w:rsid w:val="00EA2010"/>
    <w:rsid w:val="00EA2C7A"/>
    <w:rsid w:val="00EB16FE"/>
    <w:rsid w:val="00EC4A80"/>
    <w:rsid w:val="00EC57CC"/>
    <w:rsid w:val="00EC5C4F"/>
    <w:rsid w:val="00EC5E9A"/>
    <w:rsid w:val="00EC67B9"/>
    <w:rsid w:val="00ED402C"/>
    <w:rsid w:val="00ED799E"/>
    <w:rsid w:val="00EE03DD"/>
    <w:rsid w:val="00EE1484"/>
    <w:rsid w:val="00EE3D43"/>
    <w:rsid w:val="00EF04C2"/>
    <w:rsid w:val="00EF0808"/>
    <w:rsid w:val="00EF16A2"/>
    <w:rsid w:val="00EF1863"/>
    <w:rsid w:val="00EF535E"/>
    <w:rsid w:val="00EF77A3"/>
    <w:rsid w:val="00EF7F55"/>
    <w:rsid w:val="00F022AD"/>
    <w:rsid w:val="00F0647A"/>
    <w:rsid w:val="00F11414"/>
    <w:rsid w:val="00F151F7"/>
    <w:rsid w:val="00F161B7"/>
    <w:rsid w:val="00F244F9"/>
    <w:rsid w:val="00F270BC"/>
    <w:rsid w:val="00F27DD5"/>
    <w:rsid w:val="00F30F9C"/>
    <w:rsid w:val="00F364DD"/>
    <w:rsid w:val="00F37346"/>
    <w:rsid w:val="00F37EE5"/>
    <w:rsid w:val="00F44361"/>
    <w:rsid w:val="00F459B3"/>
    <w:rsid w:val="00F4681D"/>
    <w:rsid w:val="00F60EF4"/>
    <w:rsid w:val="00F621C7"/>
    <w:rsid w:val="00F64716"/>
    <w:rsid w:val="00F7595B"/>
    <w:rsid w:val="00F80270"/>
    <w:rsid w:val="00F802BD"/>
    <w:rsid w:val="00F81BE2"/>
    <w:rsid w:val="00F914D8"/>
    <w:rsid w:val="00F939F1"/>
    <w:rsid w:val="00F95C09"/>
    <w:rsid w:val="00F96D48"/>
    <w:rsid w:val="00FA1F66"/>
    <w:rsid w:val="00FA2ECB"/>
    <w:rsid w:val="00FA4A27"/>
    <w:rsid w:val="00FA57F9"/>
    <w:rsid w:val="00FA5CAA"/>
    <w:rsid w:val="00FB0340"/>
    <w:rsid w:val="00FB3F68"/>
    <w:rsid w:val="00FC14C5"/>
    <w:rsid w:val="00FC2B70"/>
    <w:rsid w:val="00FC447D"/>
    <w:rsid w:val="00FC455B"/>
    <w:rsid w:val="00FC735B"/>
    <w:rsid w:val="00FD0653"/>
    <w:rsid w:val="00FD0811"/>
    <w:rsid w:val="00FD0B96"/>
    <w:rsid w:val="00FD3783"/>
    <w:rsid w:val="00FD523E"/>
    <w:rsid w:val="00FD5C23"/>
    <w:rsid w:val="00FD7050"/>
    <w:rsid w:val="00FE71C3"/>
    <w:rsid w:val="00FF0C2D"/>
    <w:rsid w:val="00FF1462"/>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D7DC322B-7615-4124-8DDA-D934A2F4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F3D9F"/>
    <w:pPr>
      <w:spacing w:after="0"/>
      <w:ind w:left="720"/>
      <w:jc w:val="left"/>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6F3D9F"/>
    <w:rPr>
      <w:rFonts w:ascii="Calibri" w:eastAsia="Calibri" w:hAnsi="Calibri" w:cs="Times New Roman"/>
      <w:lang w:val="x-none" w:eastAsia="en-US"/>
    </w:rPr>
  </w:style>
  <w:style w:type="paragraph" w:styleId="NoSpacing">
    <w:name w:val="No Spacing"/>
    <w:uiPriority w:val="1"/>
    <w:qFormat/>
    <w:rsid w:val="006F3D9F"/>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96658">
      <w:bodyDiv w:val="1"/>
      <w:marLeft w:val="0"/>
      <w:marRight w:val="0"/>
      <w:marTop w:val="0"/>
      <w:marBottom w:val="0"/>
      <w:divBdr>
        <w:top w:val="none" w:sz="0" w:space="0" w:color="auto"/>
        <w:left w:val="none" w:sz="0" w:space="0" w:color="auto"/>
        <w:bottom w:val="none" w:sz="0" w:space="0" w:color="auto"/>
        <w:right w:val="none" w:sz="0" w:space="0" w:color="auto"/>
      </w:divBdr>
      <w:divsChild>
        <w:div w:id="437414969">
          <w:marLeft w:val="1123"/>
          <w:marRight w:val="0"/>
          <w:marTop w:val="60"/>
          <w:marBottom w:val="0"/>
          <w:divBdr>
            <w:top w:val="none" w:sz="0" w:space="0" w:color="auto"/>
            <w:left w:val="none" w:sz="0" w:space="0" w:color="auto"/>
            <w:bottom w:val="none" w:sz="0" w:space="0" w:color="auto"/>
            <w:right w:val="none" w:sz="0" w:space="0" w:color="auto"/>
          </w:divBdr>
        </w:div>
        <w:div w:id="442388394">
          <w:marLeft w:val="1123"/>
          <w:marRight w:val="0"/>
          <w:marTop w:val="60"/>
          <w:marBottom w:val="0"/>
          <w:divBdr>
            <w:top w:val="none" w:sz="0" w:space="0" w:color="auto"/>
            <w:left w:val="none" w:sz="0" w:space="0" w:color="auto"/>
            <w:bottom w:val="none" w:sz="0" w:space="0" w:color="auto"/>
            <w:right w:val="none" w:sz="0" w:space="0" w:color="auto"/>
          </w:divBdr>
        </w:div>
        <w:div w:id="613248638">
          <w:marLeft w:val="1123"/>
          <w:marRight w:val="0"/>
          <w:marTop w:val="60"/>
          <w:marBottom w:val="0"/>
          <w:divBdr>
            <w:top w:val="none" w:sz="0" w:space="0" w:color="auto"/>
            <w:left w:val="none" w:sz="0" w:space="0" w:color="auto"/>
            <w:bottom w:val="none" w:sz="0" w:space="0" w:color="auto"/>
            <w:right w:val="none" w:sz="0" w:space="0" w:color="auto"/>
          </w:divBdr>
        </w:div>
        <w:div w:id="1158114964">
          <w:marLeft w:val="547"/>
          <w:marRight w:val="0"/>
          <w:marTop w:val="60"/>
          <w:marBottom w:val="0"/>
          <w:divBdr>
            <w:top w:val="none" w:sz="0" w:space="0" w:color="auto"/>
            <w:left w:val="none" w:sz="0" w:space="0" w:color="auto"/>
            <w:bottom w:val="none" w:sz="0" w:space="0" w:color="auto"/>
            <w:right w:val="none" w:sz="0" w:space="0" w:color="auto"/>
          </w:divBdr>
        </w:div>
        <w:div w:id="1187282724">
          <w:marLeft w:val="1123"/>
          <w:marRight w:val="0"/>
          <w:marTop w:val="60"/>
          <w:marBottom w:val="0"/>
          <w:divBdr>
            <w:top w:val="none" w:sz="0" w:space="0" w:color="auto"/>
            <w:left w:val="none" w:sz="0" w:space="0" w:color="auto"/>
            <w:bottom w:val="none" w:sz="0" w:space="0" w:color="auto"/>
            <w:right w:val="none" w:sz="0" w:space="0" w:color="auto"/>
          </w:divBdr>
        </w:div>
        <w:div w:id="1406030886">
          <w:marLeft w:val="547"/>
          <w:marRight w:val="0"/>
          <w:marTop w:val="60"/>
          <w:marBottom w:val="0"/>
          <w:divBdr>
            <w:top w:val="none" w:sz="0" w:space="0" w:color="auto"/>
            <w:left w:val="none" w:sz="0" w:space="0" w:color="auto"/>
            <w:bottom w:val="none" w:sz="0" w:space="0" w:color="auto"/>
            <w:right w:val="none" w:sz="0" w:space="0" w:color="auto"/>
          </w:divBdr>
        </w:div>
        <w:div w:id="1420980376">
          <w:marLeft w:val="1123"/>
          <w:marRight w:val="0"/>
          <w:marTop w:val="60"/>
          <w:marBottom w:val="0"/>
          <w:divBdr>
            <w:top w:val="none" w:sz="0" w:space="0" w:color="auto"/>
            <w:left w:val="none" w:sz="0" w:space="0" w:color="auto"/>
            <w:bottom w:val="none" w:sz="0" w:space="0" w:color="auto"/>
            <w:right w:val="none" w:sz="0" w:space="0" w:color="auto"/>
          </w:divBdr>
        </w:div>
        <w:div w:id="1538277301">
          <w:marLeft w:val="547"/>
          <w:marRight w:val="0"/>
          <w:marTop w:val="60"/>
          <w:marBottom w:val="0"/>
          <w:divBdr>
            <w:top w:val="none" w:sz="0" w:space="0" w:color="auto"/>
            <w:left w:val="none" w:sz="0" w:space="0" w:color="auto"/>
            <w:bottom w:val="none" w:sz="0" w:space="0" w:color="auto"/>
            <w:right w:val="none" w:sz="0" w:space="0" w:color="auto"/>
          </w:divBdr>
        </w:div>
        <w:div w:id="1792285386">
          <w:marLeft w:val="1123"/>
          <w:marRight w:val="0"/>
          <w:marTop w:val="60"/>
          <w:marBottom w:val="0"/>
          <w:divBdr>
            <w:top w:val="none" w:sz="0" w:space="0" w:color="auto"/>
            <w:left w:val="none" w:sz="0" w:space="0" w:color="auto"/>
            <w:bottom w:val="none" w:sz="0" w:space="0" w:color="auto"/>
            <w:right w:val="none" w:sz="0" w:space="0" w:color="auto"/>
          </w:divBdr>
        </w:div>
        <w:div w:id="2120176683">
          <w:marLeft w:val="1123"/>
          <w:marRight w:val="0"/>
          <w:marTop w:val="60"/>
          <w:marBottom w:val="0"/>
          <w:divBdr>
            <w:top w:val="none" w:sz="0" w:space="0" w:color="auto"/>
            <w:left w:val="none" w:sz="0" w:space="0" w:color="auto"/>
            <w:bottom w:val="none" w:sz="0" w:space="0" w:color="auto"/>
            <w:right w:val="none" w:sz="0" w:space="0" w:color="auto"/>
          </w:divBdr>
        </w:div>
      </w:divsChild>
    </w:div>
    <w:div w:id="889533832">
      <w:bodyDiv w:val="1"/>
      <w:marLeft w:val="0"/>
      <w:marRight w:val="0"/>
      <w:marTop w:val="0"/>
      <w:marBottom w:val="0"/>
      <w:divBdr>
        <w:top w:val="none" w:sz="0" w:space="0" w:color="auto"/>
        <w:left w:val="none" w:sz="0" w:space="0" w:color="auto"/>
        <w:bottom w:val="none" w:sz="0" w:space="0" w:color="auto"/>
        <w:right w:val="none" w:sz="0" w:space="0" w:color="auto"/>
      </w:divBdr>
    </w:div>
    <w:div w:id="1096096316">
      <w:bodyDiv w:val="1"/>
      <w:marLeft w:val="0"/>
      <w:marRight w:val="0"/>
      <w:marTop w:val="0"/>
      <w:marBottom w:val="0"/>
      <w:divBdr>
        <w:top w:val="none" w:sz="0" w:space="0" w:color="auto"/>
        <w:left w:val="none" w:sz="0" w:space="0" w:color="auto"/>
        <w:bottom w:val="none" w:sz="0" w:space="0" w:color="auto"/>
        <w:right w:val="none" w:sz="0" w:space="0" w:color="auto"/>
      </w:divBdr>
      <w:divsChild>
        <w:div w:id="312415882">
          <w:marLeft w:val="1123"/>
          <w:marRight w:val="0"/>
          <w:marTop w:val="60"/>
          <w:marBottom w:val="0"/>
          <w:divBdr>
            <w:top w:val="none" w:sz="0" w:space="0" w:color="auto"/>
            <w:left w:val="none" w:sz="0" w:space="0" w:color="auto"/>
            <w:bottom w:val="none" w:sz="0" w:space="0" w:color="auto"/>
            <w:right w:val="none" w:sz="0" w:space="0" w:color="auto"/>
          </w:divBdr>
        </w:div>
        <w:div w:id="582835135">
          <w:marLeft w:val="1123"/>
          <w:marRight w:val="0"/>
          <w:marTop w:val="60"/>
          <w:marBottom w:val="0"/>
          <w:divBdr>
            <w:top w:val="none" w:sz="0" w:space="0" w:color="auto"/>
            <w:left w:val="none" w:sz="0" w:space="0" w:color="auto"/>
            <w:bottom w:val="none" w:sz="0" w:space="0" w:color="auto"/>
            <w:right w:val="none" w:sz="0" w:space="0" w:color="auto"/>
          </w:divBdr>
        </w:div>
        <w:div w:id="1160191060">
          <w:marLeft w:val="547"/>
          <w:marRight w:val="0"/>
          <w:marTop w:val="60"/>
          <w:marBottom w:val="0"/>
          <w:divBdr>
            <w:top w:val="none" w:sz="0" w:space="0" w:color="auto"/>
            <w:left w:val="none" w:sz="0" w:space="0" w:color="auto"/>
            <w:bottom w:val="none" w:sz="0" w:space="0" w:color="auto"/>
            <w:right w:val="none" w:sz="0" w:space="0" w:color="auto"/>
          </w:divBdr>
        </w:div>
        <w:div w:id="1863739425">
          <w:marLeft w:val="1123"/>
          <w:marRight w:val="0"/>
          <w:marTop w:val="60"/>
          <w:marBottom w:val="0"/>
          <w:divBdr>
            <w:top w:val="none" w:sz="0" w:space="0" w:color="auto"/>
            <w:left w:val="none" w:sz="0" w:space="0" w:color="auto"/>
            <w:bottom w:val="none" w:sz="0" w:space="0" w:color="auto"/>
            <w:right w:val="none" w:sz="0" w:space="0" w:color="auto"/>
          </w:divBdr>
        </w:div>
        <w:div w:id="2124764137">
          <w:marLeft w:val="1123"/>
          <w:marRight w:val="0"/>
          <w:marTop w:val="60"/>
          <w:marBottom w:val="0"/>
          <w:divBdr>
            <w:top w:val="none" w:sz="0" w:space="0" w:color="auto"/>
            <w:left w:val="none" w:sz="0" w:space="0" w:color="auto"/>
            <w:bottom w:val="none" w:sz="0" w:space="0" w:color="auto"/>
            <w:right w:val="none" w:sz="0" w:space="0" w:color="auto"/>
          </w:divBdr>
        </w:div>
      </w:divsChild>
    </w:div>
    <w:div w:id="1464543865">
      <w:bodyDiv w:val="1"/>
      <w:marLeft w:val="0"/>
      <w:marRight w:val="0"/>
      <w:marTop w:val="0"/>
      <w:marBottom w:val="0"/>
      <w:divBdr>
        <w:top w:val="none" w:sz="0" w:space="0" w:color="auto"/>
        <w:left w:val="none" w:sz="0" w:space="0" w:color="auto"/>
        <w:bottom w:val="none" w:sz="0" w:space="0" w:color="auto"/>
        <w:right w:val="none" w:sz="0" w:space="0" w:color="auto"/>
      </w:divBdr>
    </w:div>
    <w:div w:id="1565723659">
      <w:bodyDiv w:val="1"/>
      <w:marLeft w:val="0"/>
      <w:marRight w:val="0"/>
      <w:marTop w:val="0"/>
      <w:marBottom w:val="0"/>
      <w:divBdr>
        <w:top w:val="none" w:sz="0" w:space="0" w:color="auto"/>
        <w:left w:val="none" w:sz="0" w:space="0" w:color="auto"/>
        <w:bottom w:val="none" w:sz="0" w:space="0" w:color="auto"/>
        <w:right w:val="none" w:sz="0" w:space="0" w:color="auto"/>
      </w:divBdr>
      <w:divsChild>
        <w:div w:id="38289619">
          <w:marLeft w:val="1123"/>
          <w:marRight w:val="0"/>
          <w:marTop w:val="60"/>
          <w:marBottom w:val="0"/>
          <w:divBdr>
            <w:top w:val="none" w:sz="0" w:space="0" w:color="auto"/>
            <w:left w:val="none" w:sz="0" w:space="0" w:color="auto"/>
            <w:bottom w:val="none" w:sz="0" w:space="0" w:color="auto"/>
            <w:right w:val="none" w:sz="0" w:space="0" w:color="auto"/>
          </w:divBdr>
        </w:div>
        <w:div w:id="321663379">
          <w:marLeft w:val="1123"/>
          <w:marRight w:val="0"/>
          <w:marTop w:val="60"/>
          <w:marBottom w:val="0"/>
          <w:divBdr>
            <w:top w:val="none" w:sz="0" w:space="0" w:color="auto"/>
            <w:left w:val="none" w:sz="0" w:space="0" w:color="auto"/>
            <w:bottom w:val="none" w:sz="0" w:space="0" w:color="auto"/>
            <w:right w:val="none" w:sz="0" w:space="0" w:color="auto"/>
          </w:divBdr>
        </w:div>
        <w:div w:id="169823659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119638B3-D7FA-40F8-8835-80FF6557B295}"/>
</file>

<file path=customXml/itemProps4.xml><?xml version="1.0" encoding="utf-8"?>
<ds:datastoreItem xmlns:ds="http://schemas.openxmlformats.org/officeDocument/2006/customXml" ds:itemID="{26CEAE14-7DA6-4EDA-ACDD-73F85645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3</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5963</CharactersWithSpaces>
  <SharedDoc>false</SharedDoc>
  <HLinks>
    <vt:vector size="18" baseType="variant">
      <vt:variant>
        <vt:i4>1572927</vt:i4>
      </vt:variant>
      <vt:variant>
        <vt:i4>17</vt:i4>
      </vt:variant>
      <vt:variant>
        <vt:i4>0</vt:i4>
      </vt:variant>
      <vt:variant>
        <vt:i4>5</vt:i4>
      </vt:variant>
      <vt:variant>
        <vt:lpwstr/>
      </vt:variant>
      <vt:variant>
        <vt:lpwstr>_Toc16608900</vt:lpwstr>
      </vt:variant>
      <vt:variant>
        <vt:i4>1048630</vt:i4>
      </vt:variant>
      <vt:variant>
        <vt:i4>14</vt:i4>
      </vt:variant>
      <vt:variant>
        <vt:i4>0</vt:i4>
      </vt:variant>
      <vt:variant>
        <vt:i4>5</vt:i4>
      </vt:variant>
      <vt:variant>
        <vt:lpwstr/>
      </vt:variant>
      <vt:variant>
        <vt:lpwstr>_Toc16608899</vt:lpwstr>
      </vt:variant>
      <vt:variant>
        <vt:i4>1114166</vt:i4>
      </vt:variant>
      <vt:variant>
        <vt:i4>11</vt:i4>
      </vt:variant>
      <vt:variant>
        <vt:i4>0</vt:i4>
      </vt:variant>
      <vt:variant>
        <vt:i4>5</vt:i4>
      </vt:variant>
      <vt:variant>
        <vt:lpwstr/>
      </vt:variant>
      <vt:variant>
        <vt:lpwstr>_Toc16608898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82</cp:revision>
  <dcterms:created xsi:type="dcterms:W3CDTF">2019-08-10T03:19:00Z</dcterms:created>
  <dcterms:modified xsi:type="dcterms:W3CDTF">2019-08-15T14:08:00Z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